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50257" w14:textId="77777777" w:rsidR="00861793" w:rsidRDefault="00D662AD" w:rsidP="00641600">
      <w:pPr>
        <w:jc w:val="center"/>
        <w:rPr>
          <w:rFonts w:ascii="Verdana" w:hAnsi="Verdana"/>
          <w:sz w:val="20"/>
          <w:szCs w:val="20"/>
        </w:rPr>
      </w:pPr>
      <w:bookmarkStart w:id="0" w:name="_GoBack"/>
      <w:bookmarkEnd w:id="0"/>
      <w:r>
        <w:rPr>
          <w:rFonts w:ascii="Verdana" w:hAnsi="Verdana"/>
          <w:noProof/>
          <w:sz w:val="20"/>
          <w:szCs w:val="20"/>
        </w:rPr>
        <w:drawing>
          <wp:inline distT="0" distB="0" distL="0" distR="0" wp14:anchorId="4F60D019" wp14:editId="501C3E33">
            <wp:extent cx="6746240" cy="914400"/>
            <wp:effectExtent l="19050" t="0" r="0" b="0"/>
            <wp:docPr id="1" name="Picture 1" descr="conferenc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erencebanner"/>
                    <pic:cNvPicPr>
                      <a:picLocks noChangeAspect="1" noChangeArrowheads="1"/>
                    </pic:cNvPicPr>
                  </pic:nvPicPr>
                  <pic:blipFill>
                    <a:blip r:embed="rId8"/>
                    <a:srcRect/>
                    <a:stretch>
                      <a:fillRect/>
                    </a:stretch>
                  </pic:blipFill>
                  <pic:spPr bwMode="auto">
                    <a:xfrm>
                      <a:off x="0" y="0"/>
                      <a:ext cx="6746240" cy="914400"/>
                    </a:xfrm>
                    <a:prstGeom prst="rect">
                      <a:avLst/>
                    </a:prstGeom>
                    <a:noFill/>
                    <a:ln w="9525">
                      <a:noFill/>
                      <a:miter lim="800000"/>
                      <a:headEnd/>
                      <a:tailEnd/>
                    </a:ln>
                  </pic:spPr>
                </pic:pic>
              </a:graphicData>
            </a:graphic>
          </wp:inline>
        </w:drawing>
      </w:r>
    </w:p>
    <w:p w14:paraId="7A27975F" w14:textId="77777777" w:rsidR="00861793" w:rsidRDefault="00861793" w:rsidP="00641600">
      <w:pPr>
        <w:rPr>
          <w:rFonts w:ascii="Verdana" w:hAnsi="Verdana"/>
          <w:sz w:val="20"/>
          <w:szCs w:val="20"/>
        </w:rPr>
      </w:pPr>
    </w:p>
    <w:p w14:paraId="5BE71A8F" w14:textId="77777777" w:rsidR="00861793" w:rsidRPr="000E3051" w:rsidRDefault="00861793" w:rsidP="002E4DAA">
      <w:pPr>
        <w:jc w:val="center"/>
        <w:rPr>
          <w:rFonts w:asciiTheme="minorHAnsi" w:hAnsiTheme="minorHAnsi"/>
          <w:sz w:val="22"/>
          <w:szCs w:val="22"/>
        </w:rPr>
      </w:pPr>
      <w:r w:rsidRPr="000E3051">
        <w:rPr>
          <w:rFonts w:asciiTheme="minorHAnsi" w:hAnsiTheme="minorHAnsi"/>
          <w:sz w:val="22"/>
          <w:szCs w:val="22"/>
        </w:rPr>
        <w:t>Abstract Submission Form</w:t>
      </w:r>
    </w:p>
    <w:p w14:paraId="4BF2D450" w14:textId="77777777" w:rsidR="00861793" w:rsidRPr="000E3051" w:rsidRDefault="00861793" w:rsidP="002E4DAA">
      <w:pPr>
        <w:rPr>
          <w:rFonts w:asciiTheme="minorHAnsi" w:hAnsiTheme="minorHAnsi"/>
          <w:sz w:val="22"/>
          <w:szCs w:val="22"/>
        </w:rPr>
      </w:pPr>
    </w:p>
    <w:p w14:paraId="3DC7DE46" w14:textId="77777777" w:rsidR="00861793" w:rsidRPr="000E3051" w:rsidRDefault="00861793" w:rsidP="002E4DAA">
      <w:pPr>
        <w:rPr>
          <w:rFonts w:asciiTheme="minorHAnsi" w:hAnsiTheme="minorHAnsi"/>
          <w:sz w:val="22"/>
          <w:szCs w:val="22"/>
        </w:rPr>
      </w:pPr>
      <w:r w:rsidRPr="000E3051">
        <w:rPr>
          <w:rFonts w:asciiTheme="minorHAnsi" w:hAnsiTheme="minorHAnsi"/>
          <w:sz w:val="22"/>
          <w:szCs w:val="22"/>
        </w:rPr>
        <w:t>First Speaker and Main Contact</w:t>
      </w:r>
    </w:p>
    <w:p w14:paraId="37A6FBC5" w14:textId="77777777" w:rsidR="00861793" w:rsidRPr="000E3051" w:rsidRDefault="00861793" w:rsidP="002E4DAA">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011"/>
        <w:gridCol w:w="5534"/>
      </w:tblGrid>
      <w:tr w:rsidR="00861793" w:rsidRPr="000E3051" w14:paraId="1C36D1E5" w14:textId="77777777" w:rsidTr="00600A15">
        <w:trPr>
          <w:jc w:val="center"/>
        </w:trPr>
        <w:tc>
          <w:tcPr>
            <w:tcW w:w="4011" w:type="dxa"/>
          </w:tcPr>
          <w:p w14:paraId="1C159454" w14:textId="77777777" w:rsidR="00861793" w:rsidRPr="000E3051" w:rsidRDefault="00861793" w:rsidP="002E4DAA">
            <w:pPr>
              <w:rPr>
                <w:rFonts w:asciiTheme="minorHAnsi" w:hAnsiTheme="minorHAnsi"/>
              </w:rPr>
            </w:pPr>
            <w:r w:rsidRPr="000E3051">
              <w:rPr>
                <w:rFonts w:asciiTheme="minorHAnsi" w:hAnsiTheme="minorHAnsi"/>
                <w:sz w:val="22"/>
                <w:szCs w:val="22"/>
              </w:rPr>
              <w:t>Title:</w:t>
            </w:r>
          </w:p>
        </w:tc>
        <w:tc>
          <w:tcPr>
            <w:tcW w:w="5534" w:type="dxa"/>
          </w:tcPr>
          <w:p w14:paraId="02E8133E" w14:textId="77777777" w:rsidR="00861793" w:rsidRPr="00D24E84" w:rsidRDefault="00F923F1" w:rsidP="002E4DAA">
            <w:pPr>
              <w:jc w:val="both"/>
              <w:rPr>
                <w:rFonts w:asciiTheme="minorHAnsi" w:hAnsiTheme="minorHAnsi"/>
                <w:sz w:val="22"/>
                <w:szCs w:val="22"/>
              </w:rPr>
            </w:pPr>
            <w:r w:rsidRPr="00D24E84">
              <w:rPr>
                <w:rFonts w:ascii="Calibri" w:hAnsi="Calibri"/>
                <w:sz w:val="22"/>
                <w:szCs w:val="22"/>
              </w:rPr>
              <w:t>Getting Unstuck: Information Problem Solving in High School STEM Students and Evidence of Metacognitive Knowledge</w:t>
            </w:r>
          </w:p>
        </w:tc>
      </w:tr>
      <w:tr w:rsidR="00861793" w:rsidRPr="000E3051" w14:paraId="3F964944" w14:textId="77777777" w:rsidTr="00600A15">
        <w:trPr>
          <w:jc w:val="center"/>
        </w:trPr>
        <w:tc>
          <w:tcPr>
            <w:tcW w:w="4011" w:type="dxa"/>
          </w:tcPr>
          <w:p w14:paraId="7E1F03A6" w14:textId="77777777" w:rsidR="00861793" w:rsidRPr="000E3051" w:rsidRDefault="00861793" w:rsidP="002E4DAA">
            <w:pPr>
              <w:rPr>
                <w:rFonts w:asciiTheme="minorHAnsi" w:hAnsiTheme="minorHAnsi"/>
              </w:rPr>
            </w:pPr>
            <w:r w:rsidRPr="000E3051">
              <w:rPr>
                <w:rFonts w:asciiTheme="minorHAnsi" w:hAnsiTheme="minorHAnsi"/>
                <w:sz w:val="22"/>
                <w:szCs w:val="22"/>
              </w:rPr>
              <w:t>First Name:</w:t>
            </w:r>
          </w:p>
        </w:tc>
        <w:tc>
          <w:tcPr>
            <w:tcW w:w="5534" w:type="dxa"/>
          </w:tcPr>
          <w:p w14:paraId="06DBF6C3" w14:textId="77777777" w:rsidR="00861793" w:rsidRPr="002C4292" w:rsidRDefault="00F923F1" w:rsidP="002E4DAA">
            <w:pPr>
              <w:jc w:val="both"/>
              <w:rPr>
                <w:rFonts w:asciiTheme="minorHAnsi" w:hAnsiTheme="minorHAnsi"/>
                <w:sz w:val="22"/>
                <w:szCs w:val="22"/>
              </w:rPr>
            </w:pPr>
            <w:r>
              <w:rPr>
                <w:rFonts w:asciiTheme="minorHAnsi" w:hAnsiTheme="minorHAnsi"/>
                <w:sz w:val="22"/>
                <w:szCs w:val="22"/>
              </w:rPr>
              <w:t>Todd</w:t>
            </w:r>
          </w:p>
        </w:tc>
      </w:tr>
      <w:tr w:rsidR="00861793" w:rsidRPr="000E3051" w14:paraId="5CC29458" w14:textId="77777777" w:rsidTr="00600A15">
        <w:trPr>
          <w:jc w:val="center"/>
        </w:trPr>
        <w:tc>
          <w:tcPr>
            <w:tcW w:w="4011" w:type="dxa"/>
          </w:tcPr>
          <w:p w14:paraId="038598EA" w14:textId="77777777" w:rsidR="00861793" w:rsidRPr="000E3051" w:rsidRDefault="00861793" w:rsidP="002E4DAA">
            <w:pPr>
              <w:rPr>
                <w:rFonts w:asciiTheme="minorHAnsi" w:hAnsiTheme="minorHAnsi"/>
              </w:rPr>
            </w:pPr>
            <w:r w:rsidRPr="000E3051">
              <w:rPr>
                <w:rFonts w:asciiTheme="minorHAnsi" w:hAnsiTheme="minorHAnsi"/>
                <w:sz w:val="22"/>
                <w:szCs w:val="22"/>
              </w:rPr>
              <w:t>Surname/Family Name:</w:t>
            </w:r>
          </w:p>
        </w:tc>
        <w:tc>
          <w:tcPr>
            <w:tcW w:w="5534" w:type="dxa"/>
          </w:tcPr>
          <w:p w14:paraId="3747E901" w14:textId="77777777" w:rsidR="00861793" w:rsidRPr="002C4292" w:rsidRDefault="00F923F1" w:rsidP="002E4DAA">
            <w:pPr>
              <w:jc w:val="both"/>
              <w:rPr>
                <w:rFonts w:asciiTheme="minorHAnsi" w:hAnsiTheme="minorHAnsi"/>
                <w:sz w:val="22"/>
                <w:szCs w:val="22"/>
              </w:rPr>
            </w:pPr>
            <w:r>
              <w:rPr>
                <w:rFonts w:asciiTheme="minorHAnsi" w:hAnsiTheme="minorHAnsi"/>
                <w:sz w:val="22"/>
                <w:szCs w:val="22"/>
              </w:rPr>
              <w:t>Richter</w:t>
            </w:r>
          </w:p>
        </w:tc>
      </w:tr>
      <w:tr w:rsidR="00861793" w:rsidRPr="000E3051" w14:paraId="6AD497FE" w14:textId="77777777" w:rsidTr="00600A15">
        <w:trPr>
          <w:jc w:val="center"/>
        </w:trPr>
        <w:tc>
          <w:tcPr>
            <w:tcW w:w="4011" w:type="dxa"/>
          </w:tcPr>
          <w:p w14:paraId="2FC1CAA9" w14:textId="77777777" w:rsidR="00861793" w:rsidRPr="000E3051" w:rsidRDefault="00861793" w:rsidP="002E4DAA">
            <w:pPr>
              <w:rPr>
                <w:rFonts w:asciiTheme="minorHAnsi" w:hAnsiTheme="minorHAnsi"/>
              </w:rPr>
            </w:pPr>
            <w:r w:rsidRPr="000E3051">
              <w:rPr>
                <w:rFonts w:asciiTheme="minorHAnsi" w:hAnsiTheme="minorHAnsi"/>
                <w:sz w:val="22"/>
                <w:szCs w:val="22"/>
              </w:rPr>
              <w:t>Institution:</w:t>
            </w:r>
          </w:p>
        </w:tc>
        <w:tc>
          <w:tcPr>
            <w:tcW w:w="5534" w:type="dxa"/>
          </w:tcPr>
          <w:p w14:paraId="3888954E" w14:textId="77777777" w:rsidR="00861793" w:rsidRPr="002C4292" w:rsidRDefault="00F923F1" w:rsidP="002E4DAA">
            <w:pPr>
              <w:jc w:val="both"/>
              <w:rPr>
                <w:rFonts w:asciiTheme="minorHAnsi" w:hAnsiTheme="minorHAnsi"/>
                <w:sz w:val="22"/>
                <w:szCs w:val="22"/>
              </w:rPr>
            </w:pPr>
            <w:r>
              <w:rPr>
                <w:rFonts w:asciiTheme="minorHAnsi" w:hAnsiTheme="minorHAnsi"/>
                <w:sz w:val="22"/>
                <w:szCs w:val="22"/>
              </w:rPr>
              <w:t>Edinburgh Napier University</w:t>
            </w:r>
          </w:p>
        </w:tc>
      </w:tr>
      <w:tr w:rsidR="00861793" w:rsidRPr="000E3051" w14:paraId="77DC4762" w14:textId="77777777" w:rsidTr="00600A15">
        <w:trPr>
          <w:jc w:val="center"/>
        </w:trPr>
        <w:tc>
          <w:tcPr>
            <w:tcW w:w="4011" w:type="dxa"/>
          </w:tcPr>
          <w:p w14:paraId="78D7D020" w14:textId="77777777" w:rsidR="00861793" w:rsidRPr="000E3051" w:rsidRDefault="00861793" w:rsidP="002E4DAA">
            <w:pPr>
              <w:rPr>
                <w:rFonts w:asciiTheme="minorHAnsi" w:hAnsiTheme="minorHAnsi"/>
              </w:rPr>
            </w:pPr>
            <w:r w:rsidRPr="000E3051">
              <w:rPr>
                <w:rFonts w:asciiTheme="minorHAnsi" w:hAnsiTheme="minorHAnsi"/>
                <w:sz w:val="22"/>
                <w:szCs w:val="22"/>
              </w:rPr>
              <w:t>Job Title:</w:t>
            </w:r>
          </w:p>
        </w:tc>
        <w:tc>
          <w:tcPr>
            <w:tcW w:w="5534" w:type="dxa"/>
          </w:tcPr>
          <w:p w14:paraId="0A584859" w14:textId="77777777" w:rsidR="00861793" w:rsidRPr="002C4292" w:rsidRDefault="00F923F1" w:rsidP="002E4DAA">
            <w:pPr>
              <w:jc w:val="both"/>
              <w:rPr>
                <w:rFonts w:asciiTheme="minorHAnsi" w:hAnsiTheme="minorHAnsi"/>
                <w:sz w:val="22"/>
                <w:szCs w:val="22"/>
              </w:rPr>
            </w:pPr>
            <w:r>
              <w:rPr>
                <w:rFonts w:asciiTheme="minorHAnsi" w:hAnsiTheme="minorHAnsi"/>
                <w:sz w:val="22"/>
                <w:szCs w:val="22"/>
              </w:rPr>
              <w:t>PhD Research Student</w:t>
            </w:r>
          </w:p>
        </w:tc>
      </w:tr>
      <w:tr w:rsidR="00861793" w:rsidRPr="000E3051" w14:paraId="2BE0E6C8" w14:textId="77777777" w:rsidTr="00600A15">
        <w:trPr>
          <w:jc w:val="center"/>
        </w:trPr>
        <w:tc>
          <w:tcPr>
            <w:tcW w:w="4011" w:type="dxa"/>
          </w:tcPr>
          <w:p w14:paraId="58AB7EA0" w14:textId="77777777" w:rsidR="00861793" w:rsidRPr="000E3051" w:rsidRDefault="00861793" w:rsidP="002E4DAA">
            <w:pPr>
              <w:rPr>
                <w:rFonts w:asciiTheme="minorHAnsi" w:hAnsiTheme="minorHAnsi"/>
              </w:rPr>
            </w:pPr>
            <w:r w:rsidRPr="000E3051">
              <w:rPr>
                <w:rFonts w:asciiTheme="minorHAnsi" w:hAnsiTheme="minorHAnsi"/>
                <w:sz w:val="22"/>
                <w:szCs w:val="22"/>
              </w:rPr>
              <w:t>Postal Address:</w:t>
            </w:r>
          </w:p>
        </w:tc>
        <w:tc>
          <w:tcPr>
            <w:tcW w:w="5534" w:type="dxa"/>
          </w:tcPr>
          <w:p w14:paraId="46259C10" w14:textId="77777777" w:rsidR="00861793" w:rsidRPr="002C4292" w:rsidRDefault="00F923F1" w:rsidP="002E4DAA">
            <w:pPr>
              <w:jc w:val="both"/>
              <w:rPr>
                <w:rFonts w:asciiTheme="minorHAnsi" w:hAnsiTheme="minorHAnsi"/>
                <w:sz w:val="22"/>
                <w:szCs w:val="22"/>
              </w:rPr>
            </w:pPr>
            <w:r>
              <w:rPr>
                <w:rFonts w:asciiTheme="minorHAnsi" w:hAnsiTheme="minorHAnsi"/>
                <w:sz w:val="22"/>
                <w:szCs w:val="22"/>
              </w:rPr>
              <w:t>2F2 22 Melville Terrace</w:t>
            </w:r>
          </w:p>
        </w:tc>
      </w:tr>
      <w:tr w:rsidR="00861793" w:rsidRPr="000E3051" w14:paraId="21F0F0AF" w14:textId="77777777" w:rsidTr="00600A15">
        <w:trPr>
          <w:jc w:val="center"/>
        </w:trPr>
        <w:tc>
          <w:tcPr>
            <w:tcW w:w="4011" w:type="dxa"/>
          </w:tcPr>
          <w:p w14:paraId="6E025FBE" w14:textId="77777777" w:rsidR="00861793" w:rsidRPr="000E3051" w:rsidRDefault="00861793" w:rsidP="002E4DAA">
            <w:pPr>
              <w:rPr>
                <w:rFonts w:asciiTheme="minorHAnsi" w:hAnsiTheme="minorHAnsi"/>
              </w:rPr>
            </w:pPr>
            <w:r w:rsidRPr="000E3051">
              <w:rPr>
                <w:rFonts w:asciiTheme="minorHAnsi" w:hAnsiTheme="minorHAnsi"/>
                <w:sz w:val="22"/>
                <w:szCs w:val="22"/>
              </w:rPr>
              <w:t>City:</w:t>
            </w:r>
          </w:p>
        </w:tc>
        <w:tc>
          <w:tcPr>
            <w:tcW w:w="5534" w:type="dxa"/>
          </w:tcPr>
          <w:p w14:paraId="6C1FFB19" w14:textId="77777777" w:rsidR="00861793" w:rsidRPr="002C4292" w:rsidRDefault="00F923F1" w:rsidP="002E4DAA">
            <w:pPr>
              <w:jc w:val="both"/>
              <w:rPr>
                <w:rFonts w:asciiTheme="minorHAnsi" w:hAnsiTheme="minorHAnsi"/>
                <w:sz w:val="22"/>
                <w:szCs w:val="22"/>
              </w:rPr>
            </w:pPr>
            <w:r>
              <w:rPr>
                <w:rFonts w:asciiTheme="minorHAnsi" w:hAnsiTheme="minorHAnsi"/>
                <w:sz w:val="22"/>
                <w:szCs w:val="22"/>
              </w:rPr>
              <w:t>Edinburgh</w:t>
            </w:r>
          </w:p>
        </w:tc>
      </w:tr>
      <w:tr w:rsidR="00861793" w:rsidRPr="000E3051" w14:paraId="64065B67" w14:textId="77777777" w:rsidTr="00600A15">
        <w:trPr>
          <w:jc w:val="center"/>
        </w:trPr>
        <w:tc>
          <w:tcPr>
            <w:tcW w:w="4011" w:type="dxa"/>
          </w:tcPr>
          <w:p w14:paraId="334E3421" w14:textId="77777777" w:rsidR="00861793" w:rsidRPr="000E3051" w:rsidRDefault="00861793" w:rsidP="002E4DAA">
            <w:pPr>
              <w:rPr>
                <w:rFonts w:asciiTheme="minorHAnsi" w:hAnsiTheme="minorHAnsi"/>
              </w:rPr>
            </w:pPr>
            <w:r w:rsidRPr="000E3051">
              <w:rPr>
                <w:rFonts w:asciiTheme="minorHAnsi" w:hAnsiTheme="minorHAnsi"/>
                <w:sz w:val="22"/>
                <w:szCs w:val="22"/>
              </w:rPr>
              <w:t>Postal or ZIP Code:</w:t>
            </w:r>
          </w:p>
        </w:tc>
        <w:tc>
          <w:tcPr>
            <w:tcW w:w="5534" w:type="dxa"/>
          </w:tcPr>
          <w:p w14:paraId="5A32A590" w14:textId="77777777" w:rsidR="00861793" w:rsidRPr="002C4292" w:rsidRDefault="00F923F1" w:rsidP="002E4DAA">
            <w:pPr>
              <w:jc w:val="both"/>
              <w:rPr>
                <w:rFonts w:asciiTheme="minorHAnsi" w:hAnsiTheme="minorHAnsi"/>
                <w:sz w:val="22"/>
                <w:szCs w:val="22"/>
              </w:rPr>
            </w:pPr>
            <w:r>
              <w:rPr>
                <w:rFonts w:asciiTheme="minorHAnsi" w:hAnsiTheme="minorHAnsi"/>
                <w:sz w:val="22"/>
                <w:szCs w:val="22"/>
              </w:rPr>
              <w:t>EH9 1LR</w:t>
            </w:r>
          </w:p>
        </w:tc>
      </w:tr>
      <w:tr w:rsidR="00861793" w:rsidRPr="000E3051" w14:paraId="60E0E539" w14:textId="77777777" w:rsidTr="00600A15">
        <w:trPr>
          <w:jc w:val="center"/>
        </w:trPr>
        <w:tc>
          <w:tcPr>
            <w:tcW w:w="4011" w:type="dxa"/>
          </w:tcPr>
          <w:p w14:paraId="62ED734E" w14:textId="77777777" w:rsidR="00861793" w:rsidRPr="000E3051" w:rsidRDefault="00861793" w:rsidP="002E4DAA">
            <w:pPr>
              <w:rPr>
                <w:rFonts w:asciiTheme="minorHAnsi" w:hAnsiTheme="minorHAnsi"/>
              </w:rPr>
            </w:pPr>
            <w:r w:rsidRPr="000E3051">
              <w:rPr>
                <w:rFonts w:asciiTheme="minorHAnsi" w:hAnsiTheme="minorHAnsi"/>
                <w:sz w:val="22"/>
                <w:szCs w:val="22"/>
              </w:rPr>
              <w:t>Country:</w:t>
            </w:r>
          </w:p>
        </w:tc>
        <w:tc>
          <w:tcPr>
            <w:tcW w:w="5534" w:type="dxa"/>
          </w:tcPr>
          <w:p w14:paraId="4A6D5EF6" w14:textId="77777777" w:rsidR="00861793" w:rsidRPr="002C4292" w:rsidRDefault="00F923F1" w:rsidP="002E4DAA">
            <w:pPr>
              <w:jc w:val="both"/>
              <w:rPr>
                <w:rFonts w:asciiTheme="minorHAnsi" w:hAnsiTheme="minorHAnsi"/>
                <w:sz w:val="22"/>
                <w:szCs w:val="22"/>
              </w:rPr>
            </w:pPr>
            <w:r>
              <w:rPr>
                <w:rFonts w:asciiTheme="minorHAnsi" w:hAnsiTheme="minorHAnsi"/>
                <w:sz w:val="22"/>
                <w:szCs w:val="22"/>
              </w:rPr>
              <w:t>United Kingdom</w:t>
            </w:r>
          </w:p>
        </w:tc>
      </w:tr>
      <w:tr w:rsidR="00861793" w:rsidRPr="000E3051" w14:paraId="16F77B56" w14:textId="77777777" w:rsidTr="00600A15">
        <w:trPr>
          <w:jc w:val="center"/>
        </w:trPr>
        <w:tc>
          <w:tcPr>
            <w:tcW w:w="4011" w:type="dxa"/>
          </w:tcPr>
          <w:p w14:paraId="2EC69E17" w14:textId="77777777" w:rsidR="00861793" w:rsidRPr="000E3051" w:rsidRDefault="00861793" w:rsidP="002E4DAA">
            <w:pPr>
              <w:rPr>
                <w:rFonts w:asciiTheme="minorHAnsi" w:hAnsiTheme="minorHAnsi"/>
              </w:rPr>
            </w:pPr>
            <w:r w:rsidRPr="000E3051">
              <w:rPr>
                <w:rFonts w:asciiTheme="minorHAnsi" w:hAnsiTheme="minorHAnsi"/>
                <w:sz w:val="22"/>
                <w:szCs w:val="22"/>
              </w:rPr>
              <w:t>Telephone Number (Inc</w:t>
            </w:r>
            <w:r w:rsidR="0081770E">
              <w:rPr>
                <w:rFonts w:asciiTheme="minorHAnsi" w:hAnsiTheme="minorHAnsi"/>
                <w:sz w:val="22"/>
                <w:szCs w:val="22"/>
              </w:rPr>
              <w:t>.</w:t>
            </w:r>
            <w:r w:rsidRPr="000E3051">
              <w:rPr>
                <w:rFonts w:asciiTheme="minorHAnsi" w:hAnsiTheme="minorHAnsi"/>
                <w:sz w:val="22"/>
                <w:szCs w:val="22"/>
              </w:rPr>
              <w:t xml:space="preserve"> Country Code):</w:t>
            </w:r>
          </w:p>
        </w:tc>
        <w:tc>
          <w:tcPr>
            <w:tcW w:w="5534" w:type="dxa"/>
          </w:tcPr>
          <w:p w14:paraId="14AB9ECB" w14:textId="77777777" w:rsidR="00861793" w:rsidRPr="002C4292" w:rsidRDefault="00F923F1" w:rsidP="002E4DAA">
            <w:pPr>
              <w:jc w:val="both"/>
              <w:rPr>
                <w:rFonts w:asciiTheme="minorHAnsi" w:hAnsiTheme="minorHAnsi"/>
                <w:sz w:val="22"/>
                <w:szCs w:val="22"/>
              </w:rPr>
            </w:pPr>
            <w:r>
              <w:rPr>
                <w:rFonts w:asciiTheme="minorHAnsi" w:hAnsiTheme="minorHAnsi"/>
                <w:sz w:val="22"/>
                <w:szCs w:val="22"/>
              </w:rPr>
              <w:t>0752-699-3004</w:t>
            </w:r>
          </w:p>
        </w:tc>
      </w:tr>
      <w:tr w:rsidR="00861793" w:rsidRPr="000E3051" w14:paraId="6FB902F2" w14:textId="77777777" w:rsidTr="00600A15">
        <w:trPr>
          <w:jc w:val="center"/>
        </w:trPr>
        <w:tc>
          <w:tcPr>
            <w:tcW w:w="4011" w:type="dxa"/>
          </w:tcPr>
          <w:p w14:paraId="2F433E74" w14:textId="77777777" w:rsidR="00861793" w:rsidRPr="000E3051" w:rsidRDefault="00861793" w:rsidP="002E4DAA">
            <w:pPr>
              <w:rPr>
                <w:rFonts w:asciiTheme="minorHAnsi" w:hAnsiTheme="minorHAnsi"/>
              </w:rPr>
            </w:pPr>
            <w:r w:rsidRPr="000E3051">
              <w:rPr>
                <w:rFonts w:asciiTheme="minorHAnsi" w:hAnsiTheme="minorHAnsi"/>
                <w:sz w:val="22"/>
                <w:szCs w:val="22"/>
              </w:rPr>
              <w:t>Email address:</w:t>
            </w:r>
          </w:p>
        </w:tc>
        <w:tc>
          <w:tcPr>
            <w:tcW w:w="5534" w:type="dxa"/>
          </w:tcPr>
          <w:p w14:paraId="41BFA20F" w14:textId="77777777" w:rsidR="00861793" w:rsidRPr="002C4292" w:rsidRDefault="003766B4" w:rsidP="002E4DAA">
            <w:pPr>
              <w:jc w:val="both"/>
              <w:rPr>
                <w:rFonts w:asciiTheme="minorHAnsi" w:hAnsiTheme="minorHAnsi"/>
                <w:sz w:val="22"/>
                <w:szCs w:val="22"/>
              </w:rPr>
            </w:pPr>
            <w:hyperlink r:id="rId9" w:history="1">
              <w:r w:rsidR="00F923F1" w:rsidRPr="005C3FE9">
                <w:rPr>
                  <w:rStyle w:val="Hyperlink"/>
                  <w:rFonts w:asciiTheme="minorHAnsi" w:hAnsiTheme="minorHAnsi"/>
                  <w:sz w:val="22"/>
                  <w:szCs w:val="22"/>
                </w:rPr>
                <w:t>todd.richter@napier.ac.uk</w:t>
              </w:r>
            </w:hyperlink>
          </w:p>
        </w:tc>
      </w:tr>
    </w:tbl>
    <w:p w14:paraId="160BF220" w14:textId="77777777" w:rsidR="00861793" w:rsidRPr="000E3051" w:rsidRDefault="00861793" w:rsidP="002E4DAA">
      <w:pPr>
        <w:rPr>
          <w:rFonts w:asciiTheme="minorHAnsi" w:hAnsiTheme="minorHAnsi"/>
          <w:sz w:val="22"/>
          <w:szCs w:val="22"/>
        </w:rPr>
      </w:pPr>
    </w:p>
    <w:p w14:paraId="63547829" w14:textId="77777777" w:rsidR="00861793" w:rsidRPr="000E3051" w:rsidRDefault="00861793" w:rsidP="002E4DAA">
      <w:pPr>
        <w:rPr>
          <w:rFonts w:asciiTheme="minorHAnsi" w:hAnsiTheme="minorHAnsi"/>
          <w:sz w:val="22"/>
          <w:szCs w:val="22"/>
        </w:rPr>
      </w:pPr>
      <w:r w:rsidRPr="000E3051">
        <w:rPr>
          <w:rFonts w:asciiTheme="minorHAnsi" w:hAnsiTheme="minorHAnsi"/>
          <w:sz w:val="22"/>
          <w:szCs w:val="22"/>
        </w:rPr>
        <w:t xml:space="preserve">Second Speaker </w:t>
      </w:r>
    </w:p>
    <w:p w14:paraId="3A92A220" w14:textId="77777777" w:rsidR="00861793" w:rsidRPr="000E3051" w:rsidRDefault="00861793" w:rsidP="002E4DAA">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011"/>
        <w:gridCol w:w="5534"/>
      </w:tblGrid>
      <w:tr w:rsidR="00861793" w:rsidRPr="000E3051" w14:paraId="0310AC19" w14:textId="77777777" w:rsidTr="00600A15">
        <w:trPr>
          <w:jc w:val="center"/>
        </w:trPr>
        <w:tc>
          <w:tcPr>
            <w:tcW w:w="4011" w:type="dxa"/>
          </w:tcPr>
          <w:p w14:paraId="26626850" w14:textId="77777777" w:rsidR="00861793" w:rsidRPr="000E3051" w:rsidRDefault="00861793" w:rsidP="002E4DAA">
            <w:pPr>
              <w:rPr>
                <w:rFonts w:asciiTheme="minorHAnsi" w:hAnsiTheme="minorHAnsi"/>
              </w:rPr>
            </w:pPr>
            <w:r w:rsidRPr="000E3051">
              <w:rPr>
                <w:rFonts w:asciiTheme="minorHAnsi" w:hAnsiTheme="minorHAnsi"/>
                <w:sz w:val="22"/>
                <w:szCs w:val="22"/>
              </w:rPr>
              <w:t>Title:</w:t>
            </w:r>
          </w:p>
        </w:tc>
        <w:tc>
          <w:tcPr>
            <w:tcW w:w="5534" w:type="dxa"/>
          </w:tcPr>
          <w:p w14:paraId="284891DE" w14:textId="77777777" w:rsidR="00861793" w:rsidRPr="002C4292" w:rsidRDefault="00F923F1" w:rsidP="002E4DAA">
            <w:pPr>
              <w:jc w:val="both"/>
              <w:rPr>
                <w:rFonts w:asciiTheme="minorHAnsi" w:hAnsiTheme="minorHAnsi"/>
                <w:sz w:val="22"/>
                <w:szCs w:val="22"/>
              </w:rPr>
            </w:pPr>
            <w:r>
              <w:rPr>
                <w:rFonts w:asciiTheme="minorHAnsi" w:hAnsiTheme="minorHAnsi"/>
                <w:sz w:val="22"/>
                <w:szCs w:val="22"/>
              </w:rPr>
              <w:t>Dr.</w:t>
            </w:r>
          </w:p>
        </w:tc>
      </w:tr>
      <w:tr w:rsidR="00861793" w:rsidRPr="000E3051" w14:paraId="329AAF16" w14:textId="77777777" w:rsidTr="00600A15">
        <w:trPr>
          <w:jc w:val="center"/>
        </w:trPr>
        <w:tc>
          <w:tcPr>
            <w:tcW w:w="4011" w:type="dxa"/>
          </w:tcPr>
          <w:p w14:paraId="31A6E245" w14:textId="77777777" w:rsidR="00861793" w:rsidRPr="000E3051" w:rsidRDefault="00861793" w:rsidP="002E4DAA">
            <w:pPr>
              <w:rPr>
                <w:rFonts w:asciiTheme="minorHAnsi" w:hAnsiTheme="minorHAnsi"/>
              </w:rPr>
            </w:pPr>
            <w:r w:rsidRPr="000E3051">
              <w:rPr>
                <w:rFonts w:asciiTheme="minorHAnsi" w:hAnsiTheme="minorHAnsi"/>
                <w:sz w:val="22"/>
                <w:szCs w:val="22"/>
              </w:rPr>
              <w:t>First Name:</w:t>
            </w:r>
          </w:p>
        </w:tc>
        <w:tc>
          <w:tcPr>
            <w:tcW w:w="5534" w:type="dxa"/>
          </w:tcPr>
          <w:p w14:paraId="6A434AD5" w14:textId="77777777" w:rsidR="00861793" w:rsidRPr="002C4292" w:rsidRDefault="00F923F1" w:rsidP="002E4DAA">
            <w:pPr>
              <w:jc w:val="both"/>
              <w:rPr>
                <w:rFonts w:asciiTheme="minorHAnsi" w:hAnsiTheme="minorHAnsi"/>
                <w:sz w:val="22"/>
                <w:szCs w:val="22"/>
              </w:rPr>
            </w:pPr>
            <w:r>
              <w:rPr>
                <w:rFonts w:asciiTheme="minorHAnsi" w:hAnsiTheme="minorHAnsi"/>
                <w:sz w:val="22"/>
                <w:szCs w:val="22"/>
              </w:rPr>
              <w:t>Laura</w:t>
            </w:r>
          </w:p>
        </w:tc>
      </w:tr>
      <w:tr w:rsidR="00861793" w:rsidRPr="000E3051" w14:paraId="734B2522" w14:textId="77777777" w:rsidTr="00600A15">
        <w:trPr>
          <w:jc w:val="center"/>
        </w:trPr>
        <w:tc>
          <w:tcPr>
            <w:tcW w:w="4011" w:type="dxa"/>
          </w:tcPr>
          <w:p w14:paraId="733BB36F" w14:textId="77777777" w:rsidR="00861793" w:rsidRPr="000E3051" w:rsidRDefault="00861793" w:rsidP="002E4DAA">
            <w:pPr>
              <w:rPr>
                <w:rFonts w:asciiTheme="minorHAnsi" w:hAnsiTheme="minorHAnsi"/>
              </w:rPr>
            </w:pPr>
            <w:r w:rsidRPr="000E3051">
              <w:rPr>
                <w:rFonts w:asciiTheme="minorHAnsi" w:hAnsiTheme="minorHAnsi"/>
                <w:sz w:val="22"/>
                <w:szCs w:val="22"/>
              </w:rPr>
              <w:t>Surname/Family Name:</w:t>
            </w:r>
          </w:p>
        </w:tc>
        <w:tc>
          <w:tcPr>
            <w:tcW w:w="5534" w:type="dxa"/>
          </w:tcPr>
          <w:p w14:paraId="545F9E5C" w14:textId="77777777" w:rsidR="00861793" w:rsidRPr="002C4292" w:rsidRDefault="00F923F1" w:rsidP="002E4DAA">
            <w:pPr>
              <w:jc w:val="both"/>
              <w:rPr>
                <w:rFonts w:asciiTheme="minorHAnsi" w:hAnsiTheme="minorHAnsi"/>
                <w:sz w:val="22"/>
                <w:szCs w:val="22"/>
              </w:rPr>
            </w:pPr>
            <w:r>
              <w:rPr>
                <w:rFonts w:asciiTheme="minorHAnsi" w:hAnsiTheme="minorHAnsi"/>
                <w:sz w:val="22"/>
                <w:szCs w:val="22"/>
              </w:rPr>
              <w:t>Muir</w:t>
            </w:r>
          </w:p>
        </w:tc>
      </w:tr>
      <w:tr w:rsidR="00861793" w:rsidRPr="000E3051" w14:paraId="47040D14" w14:textId="77777777" w:rsidTr="00600A15">
        <w:trPr>
          <w:jc w:val="center"/>
        </w:trPr>
        <w:tc>
          <w:tcPr>
            <w:tcW w:w="4011" w:type="dxa"/>
          </w:tcPr>
          <w:p w14:paraId="24DC70E8" w14:textId="77777777" w:rsidR="00861793" w:rsidRPr="000E3051" w:rsidRDefault="00861793" w:rsidP="002E4DAA">
            <w:pPr>
              <w:rPr>
                <w:rFonts w:asciiTheme="minorHAnsi" w:hAnsiTheme="minorHAnsi"/>
              </w:rPr>
            </w:pPr>
            <w:r w:rsidRPr="000E3051">
              <w:rPr>
                <w:rFonts w:asciiTheme="minorHAnsi" w:hAnsiTheme="minorHAnsi"/>
                <w:sz w:val="22"/>
                <w:szCs w:val="22"/>
              </w:rPr>
              <w:t>Institution:</w:t>
            </w:r>
          </w:p>
        </w:tc>
        <w:tc>
          <w:tcPr>
            <w:tcW w:w="5534" w:type="dxa"/>
          </w:tcPr>
          <w:p w14:paraId="37E428F5" w14:textId="77777777" w:rsidR="00861793" w:rsidRPr="002C4292" w:rsidRDefault="00F923F1" w:rsidP="002E4DAA">
            <w:pPr>
              <w:jc w:val="both"/>
              <w:rPr>
                <w:rFonts w:asciiTheme="minorHAnsi" w:hAnsiTheme="minorHAnsi"/>
                <w:sz w:val="22"/>
                <w:szCs w:val="22"/>
              </w:rPr>
            </w:pPr>
            <w:r>
              <w:rPr>
                <w:rFonts w:asciiTheme="minorHAnsi" w:hAnsiTheme="minorHAnsi"/>
                <w:sz w:val="22"/>
                <w:szCs w:val="22"/>
              </w:rPr>
              <w:t>Edinburgh Napier University</w:t>
            </w:r>
          </w:p>
        </w:tc>
      </w:tr>
      <w:tr w:rsidR="00861793" w:rsidRPr="000E3051" w14:paraId="00E547FD" w14:textId="77777777" w:rsidTr="00600A15">
        <w:trPr>
          <w:jc w:val="center"/>
        </w:trPr>
        <w:tc>
          <w:tcPr>
            <w:tcW w:w="4011" w:type="dxa"/>
          </w:tcPr>
          <w:p w14:paraId="01769C73" w14:textId="77777777" w:rsidR="00861793" w:rsidRPr="000E3051" w:rsidRDefault="00861793" w:rsidP="002E4DAA">
            <w:pPr>
              <w:rPr>
                <w:rFonts w:asciiTheme="minorHAnsi" w:hAnsiTheme="minorHAnsi"/>
              </w:rPr>
            </w:pPr>
            <w:r w:rsidRPr="000E3051">
              <w:rPr>
                <w:rFonts w:asciiTheme="minorHAnsi" w:hAnsiTheme="minorHAnsi"/>
                <w:sz w:val="22"/>
                <w:szCs w:val="22"/>
              </w:rPr>
              <w:t>Job Title:</w:t>
            </w:r>
          </w:p>
        </w:tc>
        <w:tc>
          <w:tcPr>
            <w:tcW w:w="5534" w:type="dxa"/>
          </w:tcPr>
          <w:p w14:paraId="3E5C95A2" w14:textId="713326D1" w:rsidR="00861793" w:rsidRPr="002C4292" w:rsidRDefault="00F923F1" w:rsidP="006142EF">
            <w:pPr>
              <w:jc w:val="both"/>
              <w:rPr>
                <w:rFonts w:asciiTheme="minorHAnsi" w:hAnsiTheme="minorHAnsi"/>
                <w:sz w:val="22"/>
                <w:szCs w:val="22"/>
              </w:rPr>
            </w:pPr>
            <w:r>
              <w:rPr>
                <w:rFonts w:asciiTheme="minorHAnsi" w:hAnsiTheme="minorHAnsi"/>
                <w:sz w:val="22"/>
                <w:szCs w:val="22"/>
              </w:rPr>
              <w:t>Associate Professor</w:t>
            </w:r>
          </w:p>
        </w:tc>
      </w:tr>
      <w:tr w:rsidR="00861793" w:rsidRPr="000E3051" w14:paraId="63FC71E6" w14:textId="77777777" w:rsidTr="00600A15">
        <w:trPr>
          <w:jc w:val="center"/>
        </w:trPr>
        <w:tc>
          <w:tcPr>
            <w:tcW w:w="4011" w:type="dxa"/>
          </w:tcPr>
          <w:p w14:paraId="77077592" w14:textId="77777777" w:rsidR="00861793" w:rsidRPr="000E3051" w:rsidRDefault="00861793" w:rsidP="002E4DAA">
            <w:pPr>
              <w:rPr>
                <w:rFonts w:asciiTheme="minorHAnsi" w:hAnsiTheme="minorHAnsi"/>
              </w:rPr>
            </w:pPr>
            <w:r w:rsidRPr="000E3051">
              <w:rPr>
                <w:rFonts w:asciiTheme="minorHAnsi" w:hAnsiTheme="minorHAnsi"/>
                <w:sz w:val="22"/>
                <w:szCs w:val="22"/>
              </w:rPr>
              <w:t>Email address:</w:t>
            </w:r>
          </w:p>
        </w:tc>
        <w:tc>
          <w:tcPr>
            <w:tcW w:w="5534" w:type="dxa"/>
          </w:tcPr>
          <w:p w14:paraId="743658E0" w14:textId="77777777" w:rsidR="00861793" w:rsidRPr="002C4292" w:rsidRDefault="003766B4" w:rsidP="002E4DAA">
            <w:pPr>
              <w:jc w:val="both"/>
              <w:rPr>
                <w:rFonts w:asciiTheme="minorHAnsi" w:hAnsiTheme="minorHAnsi"/>
                <w:sz w:val="22"/>
                <w:szCs w:val="22"/>
              </w:rPr>
            </w:pPr>
            <w:hyperlink r:id="rId10" w:history="1">
              <w:r w:rsidR="00F923F1" w:rsidRPr="005C3FE9">
                <w:rPr>
                  <w:rStyle w:val="Hyperlink"/>
                  <w:rFonts w:asciiTheme="minorHAnsi" w:hAnsiTheme="minorHAnsi"/>
                  <w:sz w:val="22"/>
                  <w:szCs w:val="22"/>
                </w:rPr>
                <w:t>l.muir@napier.ac.uk</w:t>
              </w:r>
            </w:hyperlink>
            <w:r w:rsidR="00F923F1">
              <w:rPr>
                <w:rFonts w:asciiTheme="minorHAnsi" w:hAnsiTheme="minorHAnsi"/>
                <w:sz w:val="22"/>
                <w:szCs w:val="22"/>
              </w:rPr>
              <w:t xml:space="preserve"> </w:t>
            </w:r>
          </w:p>
        </w:tc>
      </w:tr>
    </w:tbl>
    <w:p w14:paraId="66AA6D61" w14:textId="77777777" w:rsidR="00861793" w:rsidRDefault="00861793" w:rsidP="002E4DAA">
      <w:pPr>
        <w:rPr>
          <w:rFonts w:asciiTheme="minorHAnsi" w:hAnsiTheme="minorHAnsi"/>
          <w:sz w:val="22"/>
          <w:szCs w:val="22"/>
        </w:rPr>
      </w:pPr>
    </w:p>
    <w:p w14:paraId="33330080" w14:textId="77777777" w:rsidR="00861793" w:rsidRPr="000E3051" w:rsidRDefault="00861793" w:rsidP="002E4DAA">
      <w:pPr>
        <w:rPr>
          <w:rFonts w:asciiTheme="minorHAnsi" w:hAnsiTheme="minorHAnsi"/>
          <w:sz w:val="22"/>
          <w:szCs w:val="22"/>
        </w:rPr>
      </w:pPr>
      <w:r w:rsidRPr="000E3051">
        <w:rPr>
          <w:rFonts w:asciiTheme="minorHAnsi" w:hAnsiTheme="minorHAnsi"/>
          <w:sz w:val="22"/>
          <w:szCs w:val="22"/>
        </w:rPr>
        <w:t>Submission Details</w:t>
      </w:r>
    </w:p>
    <w:p w14:paraId="46A6F54F" w14:textId="77777777" w:rsidR="00861793" w:rsidRPr="000E3051" w:rsidRDefault="00861793" w:rsidP="002E4DAA">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175"/>
        <w:gridCol w:w="7550"/>
        <w:gridCol w:w="2037"/>
      </w:tblGrid>
      <w:tr w:rsidR="00861793" w:rsidRPr="000E3051" w14:paraId="63F1C9CB" w14:textId="77777777" w:rsidTr="00291355">
        <w:trPr>
          <w:jc w:val="center"/>
        </w:trPr>
        <w:tc>
          <w:tcPr>
            <w:tcW w:w="471" w:type="dxa"/>
          </w:tcPr>
          <w:p w14:paraId="0E1DA421" w14:textId="77777777" w:rsidR="00861793" w:rsidRPr="000E3051" w:rsidRDefault="00861793" w:rsidP="002E4DAA">
            <w:pPr>
              <w:rPr>
                <w:rFonts w:asciiTheme="minorHAnsi" w:hAnsiTheme="minorHAnsi"/>
              </w:rPr>
            </w:pPr>
            <w:r w:rsidRPr="000E3051">
              <w:rPr>
                <w:rFonts w:asciiTheme="minorHAnsi" w:hAnsiTheme="minorHAnsi"/>
                <w:sz w:val="22"/>
                <w:szCs w:val="22"/>
              </w:rPr>
              <w:t>Title of Abstract</w:t>
            </w:r>
          </w:p>
        </w:tc>
        <w:tc>
          <w:tcPr>
            <w:tcW w:w="9587" w:type="dxa"/>
            <w:gridSpan w:val="2"/>
          </w:tcPr>
          <w:p w14:paraId="222E43F5" w14:textId="5885BCD6" w:rsidR="00861793" w:rsidRPr="002C4292" w:rsidRDefault="00D24E84" w:rsidP="00D24E84">
            <w:pPr>
              <w:pStyle w:val="Default"/>
              <w:ind w:right="1060"/>
              <w:rPr>
                <w:rFonts w:asciiTheme="minorHAnsi" w:hAnsiTheme="minorHAnsi"/>
              </w:rPr>
            </w:pPr>
            <w:r w:rsidRPr="00D24E84">
              <w:rPr>
                <w:rFonts w:ascii="Calibri" w:hAnsi="Calibri"/>
              </w:rPr>
              <w:t>Getting Unstuck: Information Problem Solving in High School STEM Students and Evidence of Metacognitive Knowledge</w:t>
            </w:r>
          </w:p>
        </w:tc>
      </w:tr>
      <w:tr w:rsidR="00861793" w:rsidRPr="000E3051" w14:paraId="52292313" w14:textId="77777777" w:rsidTr="00291355">
        <w:trPr>
          <w:jc w:val="center"/>
        </w:trPr>
        <w:tc>
          <w:tcPr>
            <w:tcW w:w="471" w:type="dxa"/>
            <w:vMerge w:val="restart"/>
          </w:tcPr>
          <w:p w14:paraId="4DD76F00" w14:textId="77777777" w:rsidR="00861793" w:rsidRPr="000E3051" w:rsidRDefault="00861793" w:rsidP="002E4DAA">
            <w:pPr>
              <w:rPr>
                <w:rFonts w:asciiTheme="minorHAnsi" w:hAnsiTheme="minorHAnsi"/>
              </w:rPr>
            </w:pPr>
            <w:r w:rsidRPr="000E3051">
              <w:rPr>
                <w:rFonts w:asciiTheme="minorHAnsi" w:hAnsiTheme="minorHAnsi"/>
                <w:sz w:val="22"/>
                <w:szCs w:val="22"/>
              </w:rPr>
              <w:t>Type of Submission (please select ONE):</w:t>
            </w:r>
          </w:p>
        </w:tc>
        <w:tc>
          <w:tcPr>
            <w:tcW w:w="7460" w:type="dxa"/>
          </w:tcPr>
          <w:p w14:paraId="5CCA2F4F" w14:textId="77777777" w:rsidR="00861793" w:rsidRPr="002C4292" w:rsidRDefault="00861793" w:rsidP="002E4DAA">
            <w:pPr>
              <w:jc w:val="both"/>
              <w:rPr>
                <w:rFonts w:asciiTheme="minorHAnsi" w:hAnsiTheme="minorHAnsi"/>
                <w:sz w:val="22"/>
                <w:szCs w:val="22"/>
              </w:rPr>
            </w:pPr>
            <w:r w:rsidRPr="002C4292">
              <w:rPr>
                <w:rFonts w:asciiTheme="minorHAnsi" w:hAnsiTheme="minorHAnsi"/>
                <w:sz w:val="22"/>
                <w:szCs w:val="22"/>
              </w:rPr>
              <w:t>Full Paper</w:t>
            </w:r>
          </w:p>
        </w:tc>
        <w:tc>
          <w:tcPr>
            <w:tcW w:w="2127" w:type="dxa"/>
          </w:tcPr>
          <w:p w14:paraId="5385E182" w14:textId="77777777" w:rsidR="00861793" w:rsidRPr="002C4292" w:rsidRDefault="00F923F1" w:rsidP="002E4DAA">
            <w:pPr>
              <w:jc w:val="both"/>
              <w:rPr>
                <w:rFonts w:asciiTheme="minorHAnsi" w:hAnsiTheme="minorHAnsi"/>
                <w:sz w:val="22"/>
                <w:szCs w:val="22"/>
              </w:rPr>
            </w:pPr>
            <w:r w:rsidRPr="00F923F1">
              <w:rPr>
                <w:rFonts w:asciiTheme="minorHAnsi" w:hAnsiTheme="minorHAnsi"/>
                <w:color w:val="FF0000"/>
                <w:sz w:val="22"/>
                <w:szCs w:val="22"/>
              </w:rPr>
              <w:t>X</w:t>
            </w:r>
          </w:p>
        </w:tc>
      </w:tr>
      <w:tr w:rsidR="00861793" w:rsidRPr="000E3051" w14:paraId="7D5FDE56" w14:textId="77777777" w:rsidTr="00291355">
        <w:trPr>
          <w:jc w:val="center"/>
        </w:trPr>
        <w:tc>
          <w:tcPr>
            <w:tcW w:w="471" w:type="dxa"/>
            <w:vMerge/>
          </w:tcPr>
          <w:p w14:paraId="0F336A7E" w14:textId="77777777" w:rsidR="00861793" w:rsidRPr="000E3051" w:rsidRDefault="00861793" w:rsidP="002E4DAA">
            <w:pPr>
              <w:rPr>
                <w:rFonts w:asciiTheme="minorHAnsi" w:hAnsiTheme="minorHAnsi"/>
              </w:rPr>
            </w:pPr>
          </w:p>
        </w:tc>
        <w:tc>
          <w:tcPr>
            <w:tcW w:w="7460" w:type="dxa"/>
          </w:tcPr>
          <w:p w14:paraId="42892E67" w14:textId="77777777" w:rsidR="00861793" w:rsidRPr="002C4292" w:rsidRDefault="00861793" w:rsidP="002E4DAA">
            <w:pPr>
              <w:jc w:val="both"/>
              <w:rPr>
                <w:rFonts w:asciiTheme="minorHAnsi" w:hAnsiTheme="minorHAnsi"/>
                <w:sz w:val="22"/>
                <w:szCs w:val="22"/>
              </w:rPr>
            </w:pPr>
            <w:r w:rsidRPr="002C4292">
              <w:rPr>
                <w:rFonts w:asciiTheme="minorHAnsi" w:hAnsiTheme="minorHAnsi"/>
                <w:sz w:val="22"/>
                <w:szCs w:val="22"/>
              </w:rPr>
              <w:t>Short Paper</w:t>
            </w:r>
          </w:p>
        </w:tc>
        <w:tc>
          <w:tcPr>
            <w:tcW w:w="2127" w:type="dxa"/>
          </w:tcPr>
          <w:p w14:paraId="23C5FBF6" w14:textId="77777777" w:rsidR="00861793" w:rsidRPr="002C4292" w:rsidRDefault="00861793" w:rsidP="002E4DAA">
            <w:pPr>
              <w:jc w:val="both"/>
              <w:rPr>
                <w:rFonts w:asciiTheme="minorHAnsi" w:hAnsiTheme="minorHAnsi"/>
                <w:sz w:val="22"/>
                <w:szCs w:val="22"/>
              </w:rPr>
            </w:pPr>
          </w:p>
        </w:tc>
      </w:tr>
      <w:tr w:rsidR="00861793" w:rsidRPr="000E3051" w14:paraId="20ACA71E" w14:textId="77777777" w:rsidTr="00291355">
        <w:trPr>
          <w:jc w:val="center"/>
        </w:trPr>
        <w:tc>
          <w:tcPr>
            <w:tcW w:w="471" w:type="dxa"/>
            <w:vMerge/>
          </w:tcPr>
          <w:p w14:paraId="61E17E81" w14:textId="77777777" w:rsidR="00861793" w:rsidRPr="000E3051" w:rsidRDefault="00861793" w:rsidP="002E4DAA">
            <w:pPr>
              <w:rPr>
                <w:rFonts w:asciiTheme="minorHAnsi" w:hAnsiTheme="minorHAnsi"/>
              </w:rPr>
            </w:pPr>
          </w:p>
        </w:tc>
        <w:tc>
          <w:tcPr>
            <w:tcW w:w="7460" w:type="dxa"/>
          </w:tcPr>
          <w:p w14:paraId="22BEFF0B" w14:textId="77777777" w:rsidR="00861793" w:rsidRPr="002C4292" w:rsidRDefault="00861793" w:rsidP="002E4DAA">
            <w:pPr>
              <w:jc w:val="both"/>
              <w:rPr>
                <w:rFonts w:asciiTheme="minorHAnsi" w:hAnsiTheme="minorHAnsi"/>
                <w:sz w:val="22"/>
                <w:szCs w:val="22"/>
              </w:rPr>
            </w:pPr>
            <w:r w:rsidRPr="002C4292">
              <w:rPr>
                <w:rFonts w:asciiTheme="minorHAnsi" w:hAnsiTheme="minorHAnsi"/>
                <w:sz w:val="22"/>
                <w:szCs w:val="22"/>
              </w:rPr>
              <w:t>Round Table Discussion</w:t>
            </w:r>
          </w:p>
        </w:tc>
        <w:tc>
          <w:tcPr>
            <w:tcW w:w="2127" w:type="dxa"/>
          </w:tcPr>
          <w:p w14:paraId="144B1D38" w14:textId="77777777" w:rsidR="00861793" w:rsidRPr="002C4292" w:rsidRDefault="00861793" w:rsidP="002E4DAA">
            <w:pPr>
              <w:jc w:val="both"/>
              <w:rPr>
                <w:rFonts w:asciiTheme="minorHAnsi" w:hAnsiTheme="minorHAnsi"/>
                <w:sz w:val="22"/>
                <w:szCs w:val="22"/>
              </w:rPr>
            </w:pPr>
          </w:p>
        </w:tc>
      </w:tr>
      <w:tr w:rsidR="00861793" w:rsidRPr="000E3051" w14:paraId="21FEC324" w14:textId="77777777" w:rsidTr="00291355">
        <w:trPr>
          <w:jc w:val="center"/>
        </w:trPr>
        <w:tc>
          <w:tcPr>
            <w:tcW w:w="471" w:type="dxa"/>
            <w:vMerge w:val="restart"/>
          </w:tcPr>
          <w:p w14:paraId="1A93DF1A" w14:textId="77777777" w:rsidR="00861793" w:rsidRPr="007D4A0F" w:rsidRDefault="00861793" w:rsidP="002E4DAA">
            <w:pPr>
              <w:rPr>
                <w:rFonts w:asciiTheme="minorHAnsi" w:hAnsiTheme="minorHAnsi"/>
              </w:rPr>
            </w:pPr>
            <w:r w:rsidRPr="007D4A0F">
              <w:rPr>
                <w:rFonts w:asciiTheme="minorHAnsi" w:hAnsiTheme="minorHAnsi"/>
                <w:sz w:val="22"/>
                <w:szCs w:val="22"/>
              </w:rPr>
              <w:t>Themes (please select all that apply):</w:t>
            </w:r>
          </w:p>
        </w:tc>
        <w:tc>
          <w:tcPr>
            <w:tcW w:w="7460" w:type="dxa"/>
          </w:tcPr>
          <w:p w14:paraId="35E29A93" w14:textId="77777777" w:rsidR="00861793" w:rsidRPr="002C4292" w:rsidRDefault="00861793" w:rsidP="002E4DAA">
            <w:pPr>
              <w:jc w:val="both"/>
              <w:rPr>
                <w:rFonts w:asciiTheme="minorHAnsi" w:hAnsiTheme="minorHAnsi"/>
                <w:sz w:val="22"/>
                <w:szCs w:val="22"/>
              </w:rPr>
            </w:pPr>
            <w:r w:rsidRPr="002C4292">
              <w:rPr>
                <w:rFonts w:asciiTheme="minorHAnsi" w:hAnsiTheme="minorHAnsi"/>
                <w:sz w:val="22"/>
                <w:szCs w:val="22"/>
              </w:rPr>
              <w:t>Information Literac</w:t>
            </w:r>
            <w:r w:rsidR="007D4A0F" w:rsidRPr="002C4292">
              <w:rPr>
                <w:rFonts w:asciiTheme="minorHAnsi" w:hAnsiTheme="minorHAnsi"/>
                <w:sz w:val="22"/>
                <w:szCs w:val="22"/>
              </w:rPr>
              <w:t>ies</w:t>
            </w:r>
          </w:p>
        </w:tc>
        <w:tc>
          <w:tcPr>
            <w:tcW w:w="2127" w:type="dxa"/>
          </w:tcPr>
          <w:p w14:paraId="5150C0BC" w14:textId="77777777" w:rsidR="00861793" w:rsidRPr="002C4292" w:rsidRDefault="00F923F1" w:rsidP="002E4DAA">
            <w:pPr>
              <w:jc w:val="both"/>
              <w:rPr>
                <w:rFonts w:asciiTheme="minorHAnsi" w:hAnsiTheme="minorHAnsi"/>
                <w:color w:val="FF0000"/>
                <w:sz w:val="22"/>
                <w:szCs w:val="22"/>
              </w:rPr>
            </w:pPr>
            <w:r>
              <w:rPr>
                <w:rFonts w:asciiTheme="minorHAnsi" w:hAnsiTheme="minorHAnsi"/>
                <w:color w:val="FF0000"/>
                <w:sz w:val="22"/>
                <w:szCs w:val="22"/>
              </w:rPr>
              <w:t>X</w:t>
            </w:r>
          </w:p>
        </w:tc>
      </w:tr>
      <w:tr w:rsidR="00861793" w:rsidRPr="000E3051" w14:paraId="77CA7F82" w14:textId="77777777" w:rsidTr="00291355">
        <w:trPr>
          <w:jc w:val="center"/>
        </w:trPr>
        <w:tc>
          <w:tcPr>
            <w:tcW w:w="471" w:type="dxa"/>
            <w:vMerge/>
          </w:tcPr>
          <w:p w14:paraId="4591038F" w14:textId="77777777" w:rsidR="00861793" w:rsidRPr="007D4A0F" w:rsidRDefault="00861793" w:rsidP="002E4DAA">
            <w:pPr>
              <w:rPr>
                <w:rFonts w:asciiTheme="minorHAnsi" w:hAnsiTheme="minorHAnsi"/>
              </w:rPr>
            </w:pPr>
          </w:p>
        </w:tc>
        <w:tc>
          <w:tcPr>
            <w:tcW w:w="7460" w:type="dxa"/>
          </w:tcPr>
          <w:p w14:paraId="674269BA" w14:textId="77777777" w:rsidR="00861793" w:rsidRPr="002C4292" w:rsidRDefault="00861793" w:rsidP="002E4DAA">
            <w:pPr>
              <w:jc w:val="both"/>
              <w:rPr>
                <w:rFonts w:asciiTheme="minorHAnsi" w:hAnsiTheme="minorHAnsi"/>
                <w:sz w:val="22"/>
                <w:szCs w:val="22"/>
              </w:rPr>
            </w:pPr>
            <w:r w:rsidRPr="002C4292">
              <w:rPr>
                <w:rFonts w:asciiTheme="minorHAnsi" w:hAnsiTheme="minorHAnsi"/>
                <w:sz w:val="22"/>
                <w:szCs w:val="22"/>
              </w:rPr>
              <w:t xml:space="preserve">Information Behaviour  </w:t>
            </w:r>
          </w:p>
        </w:tc>
        <w:tc>
          <w:tcPr>
            <w:tcW w:w="2127" w:type="dxa"/>
          </w:tcPr>
          <w:p w14:paraId="79DEEA2B" w14:textId="77777777" w:rsidR="00861793" w:rsidRPr="002C4292" w:rsidRDefault="00F923F1" w:rsidP="002E4DAA">
            <w:pPr>
              <w:jc w:val="both"/>
              <w:rPr>
                <w:rFonts w:asciiTheme="minorHAnsi" w:hAnsiTheme="minorHAnsi"/>
                <w:color w:val="FF0000"/>
                <w:sz w:val="22"/>
                <w:szCs w:val="22"/>
              </w:rPr>
            </w:pPr>
            <w:r>
              <w:rPr>
                <w:rFonts w:asciiTheme="minorHAnsi" w:hAnsiTheme="minorHAnsi"/>
                <w:color w:val="FF0000"/>
                <w:sz w:val="22"/>
                <w:szCs w:val="22"/>
              </w:rPr>
              <w:t>X</w:t>
            </w:r>
          </w:p>
        </w:tc>
      </w:tr>
      <w:tr w:rsidR="00861793" w:rsidRPr="000E3051" w14:paraId="08ACBA9F" w14:textId="77777777" w:rsidTr="00291355">
        <w:trPr>
          <w:jc w:val="center"/>
        </w:trPr>
        <w:tc>
          <w:tcPr>
            <w:tcW w:w="471" w:type="dxa"/>
            <w:vMerge/>
          </w:tcPr>
          <w:p w14:paraId="2E8AA33A" w14:textId="77777777" w:rsidR="00861793" w:rsidRPr="007D4A0F" w:rsidRDefault="00861793" w:rsidP="002E4DAA">
            <w:pPr>
              <w:rPr>
                <w:rFonts w:asciiTheme="minorHAnsi" w:hAnsiTheme="minorHAnsi"/>
              </w:rPr>
            </w:pPr>
          </w:p>
        </w:tc>
        <w:tc>
          <w:tcPr>
            <w:tcW w:w="7460" w:type="dxa"/>
          </w:tcPr>
          <w:p w14:paraId="17A4AB6F" w14:textId="77777777" w:rsidR="00861793" w:rsidRPr="002C4292" w:rsidRDefault="00861793" w:rsidP="002E4DAA">
            <w:pPr>
              <w:jc w:val="both"/>
              <w:rPr>
                <w:rFonts w:asciiTheme="minorHAnsi" w:hAnsiTheme="minorHAnsi"/>
                <w:sz w:val="22"/>
                <w:szCs w:val="22"/>
              </w:rPr>
            </w:pPr>
            <w:r w:rsidRPr="002C4292">
              <w:rPr>
                <w:rFonts w:asciiTheme="minorHAnsi" w:hAnsiTheme="minorHAnsi"/>
                <w:sz w:val="22"/>
                <w:szCs w:val="22"/>
              </w:rPr>
              <w:t>Impact</w:t>
            </w:r>
          </w:p>
        </w:tc>
        <w:tc>
          <w:tcPr>
            <w:tcW w:w="2127" w:type="dxa"/>
          </w:tcPr>
          <w:p w14:paraId="2351801E" w14:textId="77777777" w:rsidR="00861793" w:rsidRPr="002C4292" w:rsidRDefault="00F923F1" w:rsidP="002E4DAA">
            <w:pPr>
              <w:jc w:val="both"/>
              <w:rPr>
                <w:rFonts w:asciiTheme="minorHAnsi" w:hAnsiTheme="minorHAnsi"/>
                <w:color w:val="FF0000"/>
                <w:sz w:val="22"/>
                <w:szCs w:val="22"/>
              </w:rPr>
            </w:pPr>
            <w:r>
              <w:rPr>
                <w:rFonts w:asciiTheme="minorHAnsi" w:hAnsiTheme="minorHAnsi"/>
                <w:color w:val="FF0000"/>
                <w:sz w:val="22"/>
                <w:szCs w:val="22"/>
              </w:rPr>
              <w:t>X</w:t>
            </w:r>
          </w:p>
        </w:tc>
      </w:tr>
      <w:tr w:rsidR="0081770E" w:rsidRPr="000E3051" w14:paraId="063319D1" w14:textId="77777777" w:rsidTr="00291355">
        <w:trPr>
          <w:jc w:val="center"/>
        </w:trPr>
        <w:tc>
          <w:tcPr>
            <w:tcW w:w="471" w:type="dxa"/>
            <w:vMerge/>
          </w:tcPr>
          <w:p w14:paraId="65801052" w14:textId="77777777" w:rsidR="0081770E" w:rsidRPr="007D4A0F" w:rsidRDefault="0081770E" w:rsidP="002E4DAA">
            <w:pPr>
              <w:rPr>
                <w:rFonts w:asciiTheme="minorHAnsi" w:hAnsiTheme="minorHAnsi"/>
              </w:rPr>
            </w:pPr>
          </w:p>
        </w:tc>
        <w:tc>
          <w:tcPr>
            <w:tcW w:w="7460" w:type="dxa"/>
          </w:tcPr>
          <w:p w14:paraId="7CFEFA38" w14:textId="77777777" w:rsidR="0081770E" w:rsidRPr="002C4292" w:rsidRDefault="007D4A0F" w:rsidP="002E4DAA">
            <w:pPr>
              <w:jc w:val="both"/>
              <w:rPr>
                <w:rFonts w:asciiTheme="minorHAnsi" w:hAnsiTheme="minorHAnsi"/>
                <w:sz w:val="22"/>
                <w:szCs w:val="22"/>
              </w:rPr>
            </w:pPr>
            <w:r w:rsidRPr="002C4292">
              <w:rPr>
                <w:rFonts w:asciiTheme="minorHAnsi" w:hAnsiTheme="minorHAnsi"/>
                <w:sz w:val="22"/>
                <w:szCs w:val="22"/>
              </w:rPr>
              <w:t>Information as agent of change</w:t>
            </w:r>
          </w:p>
        </w:tc>
        <w:tc>
          <w:tcPr>
            <w:tcW w:w="2127" w:type="dxa"/>
          </w:tcPr>
          <w:p w14:paraId="5CD22DC7" w14:textId="77777777" w:rsidR="0081770E" w:rsidRPr="002C4292" w:rsidRDefault="0081770E" w:rsidP="002E4DAA">
            <w:pPr>
              <w:jc w:val="both"/>
              <w:rPr>
                <w:rFonts w:asciiTheme="minorHAnsi" w:hAnsiTheme="minorHAnsi"/>
                <w:color w:val="FF0000"/>
                <w:sz w:val="22"/>
                <w:szCs w:val="22"/>
              </w:rPr>
            </w:pPr>
          </w:p>
        </w:tc>
      </w:tr>
      <w:tr w:rsidR="00861793" w:rsidRPr="000E3051" w14:paraId="41B73F2B" w14:textId="77777777" w:rsidTr="00291355">
        <w:trPr>
          <w:jc w:val="center"/>
        </w:trPr>
        <w:tc>
          <w:tcPr>
            <w:tcW w:w="471" w:type="dxa"/>
            <w:vMerge/>
          </w:tcPr>
          <w:p w14:paraId="71721754" w14:textId="77777777" w:rsidR="00861793" w:rsidRPr="007D4A0F" w:rsidRDefault="00861793" w:rsidP="002E4DAA">
            <w:pPr>
              <w:rPr>
                <w:rFonts w:asciiTheme="minorHAnsi" w:hAnsiTheme="minorHAnsi"/>
              </w:rPr>
            </w:pPr>
          </w:p>
        </w:tc>
        <w:tc>
          <w:tcPr>
            <w:tcW w:w="7460" w:type="dxa"/>
          </w:tcPr>
          <w:p w14:paraId="40F5D864" w14:textId="77777777" w:rsidR="00861793" w:rsidRPr="002C4292" w:rsidRDefault="00861793" w:rsidP="002E4DAA">
            <w:pPr>
              <w:jc w:val="both"/>
              <w:rPr>
                <w:rFonts w:asciiTheme="minorHAnsi" w:hAnsiTheme="minorHAnsi"/>
                <w:sz w:val="22"/>
                <w:szCs w:val="22"/>
              </w:rPr>
            </w:pPr>
            <w:r w:rsidRPr="002C4292">
              <w:rPr>
                <w:rFonts w:asciiTheme="minorHAnsi" w:hAnsiTheme="minorHAnsi"/>
                <w:sz w:val="22"/>
                <w:szCs w:val="22"/>
              </w:rPr>
              <w:t xml:space="preserve">Methodological Paper  </w:t>
            </w:r>
          </w:p>
        </w:tc>
        <w:tc>
          <w:tcPr>
            <w:tcW w:w="2127" w:type="dxa"/>
          </w:tcPr>
          <w:p w14:paraId="327B5D4E" w14:textId="77777777" w:rsidR="00861793" w:rsidRPr="002C4292" w:rsidRDefault="00861793" w:rsidP="002E4DAA">
            <w:pPr>
              <w:jc w:val="both"/>
              <w:rPr>
                <w:rFonts w:asciiTheme="minorHAnsi" w:hAnsiTheme="minorHAnsi"/>
                <w:color w:val="FF0000"/>
                <w:sz w:val="22"/>
                <w:szCs w:val="22"/>
              </w:rPr>
            </w:pPr>
          </w:p>
        </w:tc>
      </w:tr>
      <w:tr w:rsidR="00861793" w:rsidRPr="000E3051" w14:paraId="55ED66EA" w14:textId="77777777" w:rsidTr="00291355">
        <w:trPr>
          <w:jc w:val="center"/>
        </w:trPr>
        <w:tc>
          <w:tcPr>
            <w:tcW w:w="471" w:type="dxa"/>
          </w:tcPr>
          <w:p w14:paraId="2DFF398D" w14:textId="77777777" w:rsidR="00861793" w:rsidRPr="000E3051" w:rsidRDefault="00861793" w:rsidP="002E4DAA">
            <w:pPr>
              <w:rPr>
                <w:rFonts w:asciiTheme="minorHAnsi" w:hAnsiTheme="minorHAnsi"/>
              </w:rPr>
            </w:pPr>
            <w:r w:rsidRPr="000E3051">
              <w:rPr>
                <w:rFonts w:asciiTheme="minorHAnsi" w:hAnsiTheme="minorHAnsi"/>
                <w:sz w:val="22"/>
                <w:szCs w:val="22"/>
              </w:rPr>
              <w:lastRenderedPageBreak/>
              <w:t>Abstract (Please check Call for Papers for requirements):</w:t>
            </w:r>
          </w:p>
        </w:tc>
        <w:tc>
          <w:tcPr>
            <w:tcW w:w="9587" w:type="dxa"/>
            <w:gridSpan w:val="2"/>
          </w:tcPr>
          <w:p w14:paraId="43356B74" w14:textId="77777777" w:rsidR="00730D7A" w:rsidRDefault="00730D7A" w:rsidP="005379B3">
            <w:pPr>
              <w:keepNext/>
              <w:keepLines/>
              <w:spacing w:before="40" w:line="276" w:lineRule="auto"/>
              <w:outlineLvl w:val="1"/>
              <w:rPr>
                <w:rFonts w:ascii="Calibri" w:hAnsi="Calibri"/>
                <w:color w:val="2E74B5"/>
                <w:sz w:val="26"/>
                <w:szCs w:val="26"/>
                <w:lang w:eastAsia="en-US"/>
              </w:rPr>
            </w:pPr>
          </w:p>
          <w:p w14:paraId="053A4546" w14:textId="77777777" w:rsidR="005379B3" w:rsidRPr="005379B3" w:rsidRDefault="005379B3" w:rsidP="005379B3">
            <w:pPr>
              <w:keepNext/>
              <w:keepLines/>
              <w:spacing w:before="40" w:line="276" w:lineRule="auto"/>
              <w:outlineLvl w:val="1"/>
              <w:rPr>
                <w:rFonts w:ascii="Calibri" w:hAnsi="Calibri"/>
                <w:color w:val="2E74B5"/>
                <w:sz w:val="26"/>
                <w:szCs w:val="26"/>
                <w:lang w:eastAsia="en-US"/>
              </w:rPr>
            </w:pPr>
            <w:r w:rsidRPr="005379B3">
              <w:rPr>
                <w:rFonts w:ascii="Calibri" w:hAnsi="Calibri"/>
                <w:color w:val="2E74B5"/>
                <w:sz w:val="26"/>
                <w:szCs w:val="26"/>
                <w:lang w:eastAsia="en-US"/>
              </w:rPr>
              <w:t>Aim and Introduction</w:t>
            </w:r>
          </w:p>
          <w:p w14:paraId="27803386" w14:textId="4BB639CF" w:rsidR="005379B3" w:rsidRPr="005379B3" w:rsidRDefault="008B1921" w:rsidP="005379B3">
            <w:pPr>
              <w:spacing w:after="160" w:line="276" w:lineRule="auto"/>
              <w:jc w:val="both"/>
              <w:rPr>
                <w:rFonts w:ascii="Calibri" w:eastAsia="Calibri" w:hAnsi="Calibri" w:cs="Tahoma"/>
                <w:color w:val="000000"/>
                <w:sz w:val="22"/>
                <w:szCs w:val="22"/>
                <w:lang w:eastAsia="en-US"/>
              </w:rPr>
            </w:pPr>
            <w:r>
              <w:rPr>
                <w:rFonts w:ascii="Calibri" w:eastAsia="Calibri" w:hAnsi="Calibri" w:cs="Tahoma"/>
                <w:color w:val="000000"/>
                <w:sz w:val="22"/>
                <w:szCs w:val="22"/>
                <w:lang w:eastAsia="en-US"/>
              </w:rPr>
              <w:t>This presentation reports</w:t>
            </w:r>
            <w:r w:rsidR="005379B3" w:rsidRPr="005379B3">
              <w:rPr>
                <w:rFonts w:ascii="Calibri" w:eastAsia="Calibri" w:hAnsi="Calibri" w:cs="Tahoma"/>
                <w:color w:val="000000"/>
                <w:sz w:val="22"/>
                <w:szCs w:val="22"/>
                <w:lang w:eastAsia="en-US"/>
              </w:rPr>
              <w:t xml:space="preserve"> the initial </w:t>
            </w:r>
            <w:r>
              <w:rPr>
                <w:rFonts w:ascii="Calibri" w:eastAsia="Calibri" w:hAnsi="Calibri" w:cs="Tahoma"/>
                <w:color w:val="000000"/>
                <w:sz w:val="22"/>
                <w:szCs w:val="22"/>
                <w:lang w:eastAsia="en-US"/>
              </w:rPr>
              <w:t>findings</w:t>
            </w:r>
            <w:r w:rsidRPr="005379B3">
              <w:rPr>
                <w:rFonts w:ascii="Calibri" w:eastAsia="Calibri" w:hAnsi="Calibri" w:cs="Tahoma"/>
                <w:color w:val="000000"/>
                <w:sz w:val="22"/>
                <w:szCs w:val="22"/>
                <w:lang w:eastAsia="en-US"/>
              </w:rPr>
              <w:t xml:space="preserve"> </w:t>
            </w:r>
            <w:r w:rsidR="00024BCB">
              <w:rPr>
                <w:rFonts w:ascii="Calibri" w:eastAsia="Calibri" w:hAnsi="Calibri" w:cs="Tahoma"/>
                <w:color w:val="000000"/>
                <w:sz w:val="22"/>
                <w:szCs w:val="22"/>
                <w:lang w:eastAsia="en-US"/>
              </w:rPr>
              <w:t>from</w:t>
            </w:r>
            <w:r w:rsidR="00024BCB" w:rsidRPr="005379B3">
              <w:rPr>
                <w:rFonts w:ascii="Calibri" w:eastAsia="Calibri" w:hAnsi="Calibri" w:cs="Tahoma"/>
                <w:color w:val="000000"/>
                <w:sz w:val="22"/>
                <w:szCs w:val="22"/>
                <w:lang w:eastAsia="en-US"/>
              </w:rPr>
              <w:t xml:space="preserve"> </w:t>
            </w:r>
            <w:r w:rsidR="005379B3" w:rsidRPr="005379B3">
              <w:rPr>
                <w:rFonts w:ascii="Calibri" w:eastAsia="Calibri" w:hAnsi="Calibri" w:cs="Tahoma"/>
                <w:color w:val="000000"/>
                <w:sz w:val="22"/>
                <w:szCs w:val="22"/>
                <w:lang w:eastAsia="en-US"/>
              </w:rPr>
              <w:t xml:space="preserve">an ongoing empirical study which aims to evaluate </w:t>
            </w:r>
            <w:r w:rsidR="005379B3" w:rsidRPr="005379B3">
              <w:rPr>
                <w:rFonts w:ascii="Calibri" w:eastAsia="Calibri" w:hAnsi="Calibri" w:cs="AdvOT8cb2ddbd"/>
                <w:color w:val="000000"/>
                <w:sz w:val="22"/>
                <w:szCs w:val="22"/>
                <w:lang w:eastAsia="en-US"/>
              </w:rPr>
              <w:t>how students seek, use, and think about information when they encounter problems in the design, construction, and delivery of digital technology projects.</w:t>
            </w:r>
            <w:r w:rsidR="005379B3" w:rsidRPr="005379B3">
              <w:rPr>
                <w:rFonts w:ascii="Calibri" w:eastAsia="Calibri" w:hAnsi="Calibri" w:cs="Tahoma"/>
                <w:color w:val="000000"/>
                <w:sz w:val="22"/>
                <w:szCs w:val="22"/>
                <w:lang w:eastAsia="en-US"/>
              </w:rPr>
              <w:t xml:space="preserve"> </w:t>
            </w:r>
            <w:r>
              <w:rPr>
                <w:rFonts w:ascii="Calibri" w:eastAsia="Calibri" w:hAnsi="Calibri" w:cs="Tahoma"/>
                <w:color w:val="000000"/>
                <w:sz w:val="22"/>
                <w:szCs w:val="22"/>
                <w:lang w:eastAsia="en-US"/>
              </w:rPr>
              <w:t>It explores</w:t>
            </w:r>
            <w:r w:rsidR="005379B3" w:rsidRPr="005379B3">
              <w:rPr>
                <w:rFonts w:ascii="Calibri" w:eastAsia="Calibri" w:hAnsi="Calibri" w:cs="Tahoma"/>
                <w:color w:val="000000"/>
                <w:sz w:val="22"/>
                <w:szCs w:val="22"/>
                <w:lang w:eastAsia="en-US"/>
              </w:rPr>
              <w:t xml:space="preserve"> how a Science, Technology, Engineering, and Mathematics (STEM) curriculum</w:t>
            </w:r>
            <w:r>
              <w:rPr>
                <w:rFonts w:ascii="Calibri" w:eastAsia="Calibri" w:hAnsi="Calibri" w:cs="Tahoma"/>
                <w:color w:val="000000"/>
                <w:sz w:val="22"/>
                <w:szCs w:val="22"/>
                <w:lang w:eastAsia="en-US"/>
              </w:rPr>
              <w:t>,</w:t>
            </w:r>
            <w:r w:rsidR="005379B3" w:rsidRPr="005379B3">
              <w:rPr>
                <w:rFonts w:ascii="Calibri" w:eastAsia="Calibri" w:hAnsi="Calibri" w:cs="Tahoma"/>
                <w:color w:val="000000"/>
                <w:sz w:val="22"/>
                <w:szCs w:val="22"/>
                <w:lang w:eastAsia="en-US"/>
              </w:rPr>
              <w:t xml:space="preserve"> centred on improvisational problem solving</w:t>
            </w:r>
            <w:r>
              <w:rPr>
                <w:rFonts w:ascii="Calibri" w:eastAsia="Calibri" w:hAnsi="Calibri" w:cs="Tahoma"/>
                <w:color w:val="000000"/>
                <w:sz w:val="22"/>
                <w:szCs w:val="22"/>
                <w:lang w:eastAsia="en-US"/>
              </w:rPr>
              <w:t>,</w:t>
            </w:r>
            <w:r w:rsidR="005379B3" w:rsidRPr="005379B3">
              <w:rPr>
                <w:rFonts w:ascii="Calibri" w:eastAsia="Calibri" w:hAnsi="Calibri" w:cs="Tahoma"/>
                <w:color w:val="000000"/>
                <w:sz w:val="22"/>
                <w:szCs w:val="22"/>
                <w:lang w:eastAsia="en-US"/>
              </w:rPr>
              <w:t xml:space="preserve"> may have implications for student metacognitive knowledge development, and whether that development is evidenced in student information behaviour.</w:t>
            </w:r>
          </w:p>
          <w:p w14:paraId="7C4562C6" w14:textId="77777777" w:rsidR="005379B3" w:rsidRPr="005379B3" w:rsidRDefault="005379B3" w:rsidP="005379B3">
            <w:pPr>
              <w:keepNext/>
              <w:keepLines/>
              <w:spacing w:before="40" w:line="276" w:lineRule="auto"/>
              <w:outlineLvl w:val="1"/>
              <w:rPr>
                <w:rFonts w:ascii="Calibri" w:hAnsi="Calibri"/>
                <w:color w:val="2E74B5"/>
                <w:sz w:val="26"/>
                <w:szCs w:val="26"/>
                <w:lang w:eastAsia="en-US"/>
              </w:rPr>
            </w:pPr>
            <w:r w:rsidRPr="005379B3">
              <w:rPr>
                <w:rFonts w:ascii="Calibri" w:hAnsi="Calibri"/>
                <w:color w:val="2E74B5"/>
                <w:sz w:val="26"/>
                <w:szCs w:val="26"/>
                <w:lang w:eastAsia="en-US"/>
              </w:rPr>
              <w:t>Context and Rationale</w:t>
            </w:r>
          </w:p>
          <w:p w14:paraId="5292DDCB" w14:textId="28D495EA" w:rsidR="005379B3" w:rsidRDefault="005379B3" w:rsidP="005379B3">
            <w:pPr>
              <w:spacing w:after="160" w:line="276" w:lineRule="auto"/>
              <w:rPr>
                <w:rFonts w:ascii="Calibri" w:eastAsia="Calibri" w:hAnsi="Calibri" w:cs="Tahoma"/>
                <w:color w:val="000000"/>
                <w:sz w:val="22"/>
                <w:szCs w:val="22"/>
                <w:lang w:eastAsia="en-US"/>
              </w:rPr>
            </w:pPr>
            <w:r w:rsidRPr="005379B3">
              <w:rPr>
                <w:rFonts w:ascii="Calibri" w:eastAsia="Calibri" w:hAnsi="Calibri" w:cs="Tahoma"/>
                <w:color w:val="000000"/>
                <w:sz w:val="22"/>
                <w:szCs w:val="22"/>
                <w:lang w:eastAsia="en-US"/>
              </w:rPr>
              <w:t xml:space="preserve">Greatly expanded access to information and digital technologies in formal and informal learning environments over the past twenty years has equipped students and educators with new curricular pathways focused on making, tinkering, and engineering </w:t>
            </w:r>
            <w:r w:rsidRPr="005379B3">
              <w:rPr>
                <w:rFonts w:ascii="Calibri" w:eastAsia="Calibri" w:hAnsi="Calibri" w:cs="Tahoma"/>
                <w:color w:val="000000"/>
                <w:sz w:val="22"/>
                <w:szCs w:val="22"/>
                <w:lang w:eastAsia="en-US"/>
              </w:rPr>
              <w:fldChar w:fldCharType="begin" w:fldLock="1"/>
            </w:r>
            <w:r w:rsidRPr="005379B3">
              <w:rPr>
                <w:rFonts w:ascii="Calibri" w:eastAsia="Calibri" w:hAnsi="Calibri" w:cs="Tahoma"/>
                <w:color w:val="000000"/>
                <w:sz w:val="22"/>
                <w:szCs w:val="22"/>
                <w:lang w:eastAsia="en-US"/>
              </w:rPr>
              <w:instrText>ADDIN CSL_CITATION { "citationItems" : [ { "id" : "ITEM-1", "itemData" : { "DOI" : "10.1111/cura.12105", "ISSN" : "00113069", "author" : [ { "dropping-particle" : "", "family" : "Gutwill", "given" : "Joshua P", "non-dropping-particle" : "", "parse-names" : false, "suffix" : "" }, { "dropping-particle" : "", "family" : "Hido", "given" : "Nina", "non-dropping-particle" : "", "parse-names" : false, "suffix" : "" }, { "dropping-particle" : "", "family" : "Sindorf", "given" : "Lisa", "non-dropping-particle" : "", "parse-names" : false, "suffix" : "" } ], "container-title" : "Curator: The Museum Journal", "id" : "ITEM-1", "issue" : "2", "issued" : { "date-parts" : [ [ "2015", "4" ] ] }, "page" : "151-168", "title" : "Research to Practice: Observing Learning in Tinkering Activities", "type" : "article-journal", "volume" : "58" }, "uris" : [ "http://www.mendeley.com/documents/?uuid=8be567d1-c3e4-4bb3-b2c2-9e237bad4374" ] }, { "id" : "ITEM-2", "itemData" : { "DOI" : "10.1016/j.ijcci.2015.08.001", "ISBN" : "2212-8689", "ISSN" : "22128689", "abstract" : "The first programmable bricks appeared about 30 years ago, and attributed to constructionist hands-on learning. With the upcoming of FabLab initiatives and the maker movement, learning activities with digital fabrication technologies have now gained importance and spread over the world. Educational concepts that contribute not only to acquisition of skills but also to Bildung (i.e. deep and sustainable learning) are demanded more than ever.For more than a decade, we have designed, conducted and evaluated constructionist learning environments for digital fabrication with physical computing material focusing on children. In the course of our research, we identified core ideas to facilitate Bildung that are summarized as be-greifbarkeit (being 'graspable'), imagineering and self-efficacy. In this article, we elucidate these principles and show how they occur and can be facilitated in learning environments for digital fabrication with programmable construction kits. By further applying the ideas to novel production technologies, we identify challenges and give implications for integrated educational and technology designs for young people that take into account the unique qualities of digital fabrication technologies for Bildung.", "author" : [ { "dropping-particle" : "", "family" : "Katterfeldt", "given" : "Eva Sophie", "non-dropping-particle" : "", "parse-names" : false, "suffix" : "" }, { "dropping-particle" : "", "family" : "Dittert", "given" : "Nadine", "non-dropping-particle" : "", "parse-names" : false, "suffix" : "" }, { "dropping-particle" : "", "family" : "Schelhowe", "given" : "Heidi", "non-dropping-particle" : "", "parse-names" : false, "suffix" : "" } ], "container-title" : "International Journal of Child-Computer Interaction", "id" : "ITEM-2", "issued" : { "date-parts" : [ [ "2015" ] ] }, "page" : "3-10", "publisher" : "Elsevier B.V.", "title" : "Designing digital fabrication learning environments for Bildung: IMPLICATIONS from ten years of physical computing workshops", "type" : "article-journal", "volume" : "5" }, "uris" : [ "http://www.mendeley.com/documents/?uuid=491f9621-3542-4a54-9e04-bed068c9293c" ] }, { "id" : "ITEM-3", "itemData" : { "DOI" : "10.7771/2157-9288.1099", "ISSN" : "21579288", "abstract" : "The Maker Movement is a community of hobbyists, tinkerers, engineers, hackers, and artists who creatively design and build projects for both playful and useful ends. There is growing interest among educators in bringing making into K-12 education to enhance opportunities to engage in the practices of engineering, specifically, and STEM more broadly. This article describes three elements of the Maker Movement, and associated research needs, necessary to understand its promise for education: 1) digital tools, including rapid prototyping tools and low-cost microcontroller platforms, that characterize many making projects; 2) community infrastructure, including online resources and in-person spaces and events; and 3) the maker mindset, aesthetic principles, and habits of mind that are commonplace within the community. It further outlines how the practices of making align with research on beneficial learning environments.", "author" : [ { "dropping-particle" : "", "family" : "Martin", "given" : "Lee", "non-dropping-particle" : "", "parse-names" : false, "suffix" : "" } ], "container-title" : "Journal of Pre-College Engineering Education Research Journal of Pre-College Engineering Education ResearchJ-PEER Journal of Pre-College Engineering Education Research", "id" : "ITEM-3", "issue" : "5", "issued" : { "date-parts" : [ [ "2015" ] ] }, "page" : "1-30", "title" : "The Promise of the Maker Movement for Education", "type" : "article-journal", "volume" : "5" }, "uris" : [ "http://www.mendeley.com/documents/?uuid=d4996a57-22fc-4773-a942-8b7bfc2ee803" ] }, { "id" : "ITEM-4", "itemData" : { "ISBN" : "978-0-9891511-0-8", "author" : [ { "dropping-particle" : "", "family" : "Martinez, S.L. &amp; Stager", "given" : "G.", "non-dropping-particle" : "", "parse-names" : false, "suffix" : "" } ], "id" : "ITEM-4", "issued" : { "date-parts" : [ [ "2013" ] ] }, "publisher" : "Constructing Modern Knowledge Press", "title" : "Invent to Learn", "type" : "book" }, "uris" : [ "http://www.mendeley.com/documents/?uuid=3a8e1d9f-d11d-4d35-862f-c3f71ef067b9" ] } ], "mendeley" : { "formattedCitation" : "(Gutwill et al. 2015; Katterfeldt et al. 2015; Martin 2015; Martinez, S.L. &amp; Stager 2013)", "plainTextFormattedCitation" : "(Gutwill et al. 2015; Katterfeldt et al. 2015; Martin 2015; Martinez, S.L. &amp; Stager 2013)", "previouslyFormattedCitation" : "(Gutwill et al. 2015; Katterfeldt et al. 2015; Martin 2015; Martinez, S.L. &amp; Stager 2013)" }, "properties" : { "noteIndex" : 0 }, "schema" : "https://github.com/citation-style-language/schema/raw/master/csl-citation.json" }</w:instrText>
            </w:r>
            <w:r w:rsidRPr="005379B3">
              <w:rPr>
                <w:rFonts w:ascii="Calibri" w:eastAsia="Calibri" w:hAnsi="Calibri" w:cs="Tahoma"/>
                <w:color w:val="000000"/>
                <w:sz w:val="22"/>
                <w:szCs w:val="22"/>
                <w:lang w:eastAsia="en-US"/>
              </w:rPr>
              <w:fldChar w:fldCharType="separate"/>
            </w:r>
            <w:r w:rsidRPr="005379B3">
              <w:rPr>
                <w:rFonts w:ascii="Calibri" w:eastAsia="Calibri" w:hAnsi="Calibri" w:cs="Tahoma"/>
                <w:noProof/>
                <w:color w:val="000000"/>
                <w:sz w:val="22"/>
                <w:szCs w:val="22"/>
                <w:lang w:eastAsia="en-US"/>
              </w:rPr>
              <w:t xml:space="preserve">(Gutwill </w:t>
            </w:r>
            <w:r w:rsidRPr="005379B3">
              <w:rPr>
                <w:rFonts w:ascii="Calibri" w:eastAsia="Calibri" w:hAnsi="Calibri" w:cs="Tahoma"/>
                <w:i/>
                <w:noProof/>
                <w:color w:val="000000"/>
                <w:sz w:val="22"/>
                <w:szCs w:val="22"/>
                <w:lang w:eastAsia="en-US"/>
              </w:rPr>
              <w:t>et al</w:t>
            </w:r>
            <w:r w:rsidRPr="005379B3">
              <w:rPr>
                <w:rFonts w:ascii="Calibri" w:eastAsia="Calibri" w:hAnsi="Calibri" w:cs="Tahoma"/>
                <w:noProof/>
                <w:color w:val="000000"/>
                <w:sz w:val="22"/>
                <w:szCs w:val="22"/>
                <w:lang w:eastAsia="en-US"/>
              </w:rPr>
              <w:t xml:space="preserve">. 2015; Katterfeldt </w:t>
            </w:r>
            <w:r w:rsidRPr="005379B3">
              <w:rPr>
                <w:rFonts w:ascii="Calibri" w:eastAsia="Calibri" w:hAnsi="Calibri" w:cs="Tahoma"/>
                <w:i/>
                <w:noProof/>
                <w:color w:val="000000"/>
                <w:sz w:val="22"/>
                <w:szCs w:val="22"/>
                <w:lang w:eastAsia="en-US"/>
              </w:rPr>
              <w:t>et al</w:t>
            </w:r>
            <w:r w:rsidRPr="005379B3">
              <w:rPr>
                <w:rFonts w:ascii="Calibri" w:eastAsia="Calibri" w:hAnsi="Calibri" w:cs="Tahoma"/>
                <w:noProof/>
                <w:color w:val="000000"/>
                <w:sz w:val="22"/>
                <w:szCs w:val="22"/>
                <w:lang w:eastAsia="en-US"/>
              </w:rPr>
              <w:t>. 2015; Martin 2015; Martinez, S.L. &amp; Stager 2013)</w:t>
            </w:r>
            <w:r w:rsidRPr="005379B3">
              <w:rPr>
                <w:rFonts w:ascii="Calibri" w:eastAsia="Calibri" w:hAnsi="Calibri" w:cs="Tahoma"/>
                <w:color w:val="000000"/>
                <w:sz w:val="22"/>
                <w:szCs w:val="22"/>
                <w:lang w:eastAsia="en-US"/>
              </w:rPr>
              <w:fldChar w:fldCharType="end"/>
            </w:r>
            <w:r w:rsidRPr="005379B3">
              <w:rPr>
                <w:rFonts w:ascii="Calibri" w:eastAsia="Calibri" w:hAnsi="Calibri" w:cs="Tahoma"/>
                <w:color w:val="000000"/>
                <w:sz w:val="22"/>
                <w:szCs w:val="22"/>
                <w:lang w:eastAsia="en-US"/>
              </w:rPr>
              <w:t xml:space="preserve">. Rooted in the active pedagogy of Froebel (1887), Dewey (1944), Piaget (1950), and most recently Papert (1980), these programs infuse project-based, interest-driven learning with creative technology, asking students to use computing tools like computer-aided design (CAD) software to learn STEM subjects in a practical context </w:t>
            </w:r>
            <w:r w:rsidRPr="005379B3">
              <w:rPr>
                <w:rFonts w:ascii="Calibri" w:eastAsia="Calibri" w:hAnsi="Calibri" w:cs="Tahoma"/>
                <w:color w:val="000000"/>
                <w:sz w:val="22"/>
                <w:szCs w:val="22"/>
                <w:lang w:eastAsia="en-US"/>
              </w:rPr>
              <w:fldChar w:fldCharType="begin" w:fldLock="1"/>
            </w:r>
            <w:r w:rsidRPr="005379B3">
              <w:rPr>
                <w:rFonts w:ascii="Calibri" w:eastAsia="Calibri" w:hAnsi="Calibri" w:cs="Tahoma"/>
                <w:color w:val="000000"/>
                <w:sz w:val="22"/>
                <w:szCs w:val="22"/>
                <w:lang w:eastAsia="en-US"/>
              </w:rPr>
              <w:instrText>ADDIN CSL_CITATION { "citationItems" : [ { "id" : "ITEM-1", "itemData" : { "author" : [ { "dropping-particle" : "", "family" : "Sheridan", "given" : "K", "non-dropping-particle" : "", "parse-names" : false, "suffix" : "" }, { "dropping-particle" : "", "family" : "Halverson", "given" : "ER", "non-dropping-particle" : "", "parse-names" : false, "suffix" : "" }, { "dropping-particle" : "", "family" : "Litts", "given" : "B", "non-dropping-particle" : "", "parse-names" : false, "suffix" : "" } ], "container-title" : "Harvard Educational", "id" : "ITEM-1", "issue" : "4", "issued" : { "date-parts" : [ [ "2014" ] ] }, "page" : "505-532", "title" : "Learning in the making: A comparative case study of three makerspaces", "type" : "article-journal", "volume" : "84" }, "uris" : [ "http://www.mendeley.com/documents/?uuid=ab5eb2f8-5613-4c11-89cd-afe5f4ce6428" ] } ], "mendeley" : { "formattedCitation" : "(Sheridan et al. 2014)", "plainTextFormattedCitation" : "(Sheridan et al. 2014)", "previouslyFormattedCitation" : "(Sheridan et al. 2014)" }, "properties" : { "noteIndex" : 0 }, "schema" : "https://github.com/citation-style-language/schema/raw/master/csl-citation.json" }</w:instrText>
            </w:r>
            <w:r w:rsidRPr="005379B3">
              <w:rPr>
                <w:rFonts w:ascii="Calibri" w:eastAsia="Calibri" w:hAnsi="Calibri" w:cs="Tahoma"/>
                <w:color w:val="000000"/>
                <w:sz w:val="22"/>
                <w:szCs w:val="22"/>
                <w:lang w:eastAsia="en-US"/>
              </w:rPr>
              <w:fldChar w:fldCharType="separate"/>
            </w:r>
            <w:r w:rsidRPr="005379B3">
              <w:rPr>
                <w:rFonts w:ascii="Calibri" w:eastAsia="Calibri" w:hAnsi="Calibri" w:cs="Tahoma"/>
                <w:noProof/>
                <w:color w:val="000000"/>
                <w:sz w:val="22"/>
                <w:szCs w:val="22"/>
                <w:lang w:eastAsia="en-US"/>
              </w:rPr>
              <w:t xml:space="preserve">(Sheridan </w:t>
            </w:r>
            <w:r w:rsidRPr="005379B3">
              <w:rPr>
                <w:rFonts w:ascii="Calibri" w:eastAsia="Calibri" w:hAnsi="Calibri" w:cs="Tahoma"/>
                <w:i/>
                <w:noProof/>
                <w:color w:val="000000"/>
                <w:sz w:val="22"/>
                <w:szCs w:val="22"/>
                <w:lang w:eastAsia="en-US"/>
              </w:rPr>
              <w:t>et al</w:t>
            </w:r>
            <w:r w:rsidRPr="005379B3">
              <w:rPr>
                <w:rFonts w:ascii="Calibri" w:eastAsia="Calibri" w:hAnsi="Calibri" w:cs="Tahoma"/>
                <w:noProof/>
                <w:color w:val="000000"/>
                <w:sz w:val="22"/>
                <w:szCs w:val="22"/>
                <w:lang w:eastAsia="en-US"/>
              </w:rPr>
              <w:t>. 2014)</w:t>
            </w:r>
            <w:r w:rsidRPr="005379B3">
              <w:rPr>
                <w:rFonts w:ascii="Calibri" w:eastAsia="Calibri" w:hAnsi="Calibri" w:cs="Tahoma"/>
                <w:color w:val="000000"/>
                <w:sz w:val="22"/>
                <w:szCs w:val="22"/>
                <w:lang w:eastAsia="en-US"/>
              </w:rPr>
              <w:fldChar w:fldCharType="end"/>
            </w:r>
            <w:r w:rsidRPr="005379B3">
              <w:rPr>
                <w:rFonts w:ascii="Calibri" w:eastAsia="Calibri" w:hAnsi="Calibri" w:cs="Tahoma"/>
                <w:color w:val="000000"/>
                <w:sz w:val="22"/>
                <w:szCs w:val="22"/>
                <w:lang w:eastAsia="en-US"/>
              </w:rPr>
              <w:t xml:space="preserve">. Iterative design methodologies prompt students to actively </w:t>
            </w:r>
            <w:r w:rsidR="006D2EA2">
              <w:rPr>
                <w:rFonts w:ascii="Calibri" w:eastAsia="Calibri" w:hAnsi="Calibri" w:cs="Arial"/>
                <w:color w:val="000000"/>
                <w:sz w:val="22"/>
                <w:szCs w:val="22"/>
                <w:lang w:eastAsia="en-US"/>
              </w:rPr>
              <w:t>seek and utilis</w:t>
            </w:r>
            <w:r w:rsidRPr="005379B3">
              <w:rPr>
                <w:rFonts w:ascii="Calibri" w:eastAsia="Calibri" w:hAnsi="Calibri" w:cs="Arial"/>
                <w:color w:val="000000"/>
                <w:sz w:val="22"/>
                <w:szCs w:val="22"/>
                <w:lang w:eastAsia="en-US"/>
              </w:rPr>
              <w:t>e new information in open-ended problem spaces to complete projects requiring deft navigation of dense information envir</w:t>
            </w:r>
            <w:r w:rsidR="00B944FE">
              <w:rPr>
                <w:rFonts w:ascii="Calibri" w:eastAsia="Calibri" w:hAnsi="Calibri" w:cs="Arial"/>
                <w:color w:val="000000"/>
                <w:sz w:val="22"/>
                <w:szCs w:val="22"/>
                <w:lang w:eastAsia="en-US"/>
              </w:rPr>
              <w:t xml:space="preserve">onments in a way that has </w:t>
            </w:r>
            <w:r w:rsidRPr="005379B3">
              <w:rPr>
                <w:rFonts w:ascii="Calibri" w:eastAsia="Calibri" w:hAnsi="Calibri" w:cs="Arial"/>
                <w:color w:val="000000"/>
                <w:sz w:val="22"/>
                <w:szCs w:val="22"/>
                <w:lang w:eastAsia="en-US"/>
              </w:rPr>
              <w:t xml:space="preserve">potential to develop students into critical-thinking, self-aware, independent learners </w:t>
            </w:r>
            <w:r w:rsidRPr="005379B3">
              <w:rPr>
                <w:rFonts w:ascii="Calibri" w:eastAsia="Calibri" w:hAnsi="Calibri" w:cs="Arial"/>
                <w:color w:val="000000"/>
                <w:sz w:val="22"/>
                <w:szCs w:val="22"/>
                <w:lang w:eastAsia="en-US"/>
              </w:rPr>
              <w:fldChar w:fldCharType="begin" w:fldLock="1"/>
            </w:r>
            <w:r w:rsidRPr="005379B3">
              <w:rPr>
                <w:rFonts w:ascii="Calibri" w:eastAsia="Calibri" w:hAnsi="Calibri" w:cs="Arial"/>
                <w:color w:val="000000"/>
                <w:sz w:val="22"/>
                <w:szCs w:val="22"/>
                <w:lang w:eastAsia="en-US"/>
              </w:rPr>
              <w:instrText>ADDIN CSL_CITATION { "citationItems" : [ { "id" : "ITEM-1", "itemData" : { "author" : [ { "dropping-particle" : "", "family" : "Johri", "given" : "Aditya", "non-dropping-particle" : "", "parse-names" : false, "suffix" : "" }, { "dropping-particle" : "", "family" : "Olds", "given" : "Barbara M", "non-dropping-particle" : "", "parse-names" : false, "suffix" : "" } ], "container-title" : "Handbook of engineering education research  ", "id" : "ITEM-1", "issued" : { "date-parts" : [ [ "2014" ] ] }, "note" : "Includes bibliographical references and index.", "publisher" : "New York, NY : Cambridge University Press", "publisher-place" : "New York, NY", "title" : "Cambridge handbook of engineering education research", "type" : "book" }, "uris" : [ "http://www.mendeley.com/documents/?uuid=5ec3d59a-6236-4620-9193-bee9f126ad31" ] } ], "mendeley" : { "formattedCitation" : "(Johri &amp; Olds 2014)", "plainTextFormattedCitation" : "(Johri &amp; Olds 2014)", "previouslyFormattedCitation" : "(Johri &amp; Olds 2014)" }, "properties" : { "noteIndex" : 0 }, "schema" : "https://github.com/citation-style-language/schema/raw/master/csl-citation.json" }</w:instrText>
            </w:r>
            <w:r w:rsidRPr="005379B3">
              <w:rPr>
                <w:rFonts w:ascii="Calibri" w:eastAsia="Calibri" w:hAnsi="Calibri" w:cs="Arial"/>
                <w:color w:val="000000"/>
                <w:sz w:val="22"/>
                <w:szCs w:val="22"/>
                <w:lang w:eastAsia="en-US"/>
              </w:rPr>
              <w:fldChar w:fldCharType="separate"/>
            </w:r>
            <w:r w:rsidRPr="005379B3">
              <w:rPr>
                <w:rFonts w:ascii="Calibri" w:eastAsia="Calibri" w:hAnsi="Calibri" w:cs="Arial"/>
                <w:noProof/>
                <w:color w:val="000000"/>
                <w:sz w:val="22"/>
                <w:szCs w:val="22"/>
                <w:lang w:eastAsia="en-US"/>
              </w:rPr>
              <w:t>(Johri &amp; Olds 2014)</w:t>
            </w:r>
            <w:r w:rsidRPr="005379B3">
              <w:rPr>
                <w:rFonts w:ascii="Calibri" w:eastAsia="Calibri" w:hAnsi="Calibri" w:cs="Arial"/>
                <w:color w:val="000000"/>
                <w:sz w:val="22"/>
                <w:szCs w:val="22"/>
                <w:lang w:eastAsia="en-US"/>
              </w:rPr>
              <w:fldChar w:fldCharType="end"/>
            </w:r>
            <w:r w:rsidRPr="005379B3">
              <w:rPr>
                <w:rFonts w:ascii="Calibri" w:eastAsia="Calibri" w:hAnsi="Calibri" w:cs="Arial"/>
                <w:color w:val="000000"/>
                <w:sz w:val="22"/>
                <w:szCs w:val="22"/>
                <w:lang w:eastAsia="en-US"/>
              </w:rPr>
              <w:t xml:space="preserve">. More insight into the information behaviour and information literacy outcomes of these types of programs is needed to better understand how educators can optimise curricula and improve access to relevant information sources. </w:t>
            </w:r>
            <w:r w:rsidR="00AC4872" w:rsidRPr="005379B3">
              <w:rPr>
                <w:rFonts w:ascii="Calibri" w:eastAsia="Calibri" w:hAnsi="Calibri" w:cs="Tahoma"/>
                <w:color w:val="000000"/>
                <w:sz w:val="22"/>
                <w:szCs w:val="22"/>
                <w:lang w:eastAsia="en-US"/>
              </w:rPr>
              <w:t>There is</w:t>
            </w:r>
            <w:r w:rsidR="00AC4872">
              <w:rPr>
                <w:rFonts w:ascii="Calibri" w:eastAsia="Calibri" w:hAnsi="Calibri" w:cs="Tahoma"/>
                <w:color w:val="000000"/>
                <w:sz w:val="22"/>
                <w:szCs w:val="22"/>
                <w:lang w:eastAsia="en-US"/>
              </w:rPr>
              <w:t xml:space="preserve"> also </w:t>
            </w:r>
            <w:r w:rsidR="00AC4872" w:rsidRPr="005379B3">
              <w:rPr>
                <w:rFonts w:ascii="Calibri" w:eastAsia="Calibri" w:hAnsi="Calibri" w:cs="Tahoma"/>
                <w:color w:val="000000"/>
                <w:sz w:val="22"/>
                <w:szCs w:val="22"/>
                <w:lang w:eastAsia="en-US"/>
              </w:rPr>
              <w:t>a need for more</w:t>
            </w:r>
            <w:r w:rsidR="00AC4872">
              <w:rPr>
                <w:rFonts w:ascii="Calibri" w:eastAsia="Calibri" w:hAnsi="Calibri" w:cs="Tahoma"/>
                <w:color w:val="000000"/>
                <w:sz w:val="22"/>
                <w:szCs w:val="22"/>
                <w:lang w:eastAsia="en-US"/>
              </w:rPr>
              <w:t xml:space="preserve"> research </w:t>
            </w:r>
            <w:r w:rsidR="00AC4872" w:rsidRPr="005379B3">
              <w:rPr>
                <w:rFonts w:ascii="Calibri" w:eastAsia="Calibri" w:hAnsi="Calibri" w:cs="Tahoma"/>
                <w:color w:val="000000"/>
                <w:sz w:val="22"/>
                <w:szCs w:val="22"/>
                <w:lang w:eastAsia="en-US"/>
              </w:rPr>
              <w:t>prioriti</w:t>
            </w:r>
            <w:r w:rsidR="00AE0A83">
              <w:rPr>
                <w:rFonts w:ascii="Calibri" w:eastAsia="Calibri" w:hAnsi="Calibri" w:cs="Tahoma"/>
                <w:color w:val="000000"/>
                <w:sz w:val="22"/>
                <w:szCs w:val="22"/>
                <w:lang w:eastAsia="en-US"/>
              </w:rPr>
              <w:t>s</w:t>
            </w:r>
            <w:r w:rsidR="00AC4872">
              <w:rPr>
                <w:rFonts w:ascii="Calibri" w:eastAsia="Calibri" w:hAnsi="Calibri" w:cs="Tahoma"/>
                <w:color w:val="000000"/>
                <w:sz w:val="22"/>
                <w:szCs w:val="22"/>
                <w:lang w:eastAsia="en-US"/>
              </w:rPr>
              <w:t>ing</w:t>
            </w:r>
            <w:r w:rsidR="00AC4872" w:rsidRPr="005379B3">
              <w:rPr>
                <w:rFonts w:ascii="Calibri" w:eastAsia="Calibri" w:hAnsi="Calibri" w:cs="Tahoma"/>
                <w:color w:val="000000"/>
                <w:sz w:val="22"/>
                <w:szCs w:val="22"/>
                <w:lang w:eastAsia="en-US"/>
              </w:rPr>
              <w:t xml:space="preserve"> the learning experience and information interaction</w:t>
            </w:r>
            <w:r w:rsidR="00AC4872">
              <w:rPr>
                <w:rFonts w:ascii="Calibri" w:eastAsia="Calibri" w:hAnsi="Calibri" w:cs="Tahoma"/>
                <w:color w:val="000000"/>
                <w:sz w:val="22"/>
                <w:szCs w:val="22"/>
                <w:lang w:eastAsia="en-US"/>
              </w:rPr>
              <w:t>s involved</w:t>
            </w:r>
            <w:r w:rsidR="00AC4872" w:rsidRPr="005379B3">
              <w:rPr>
                <w:rFonts w:ascii="Calibri" w:eastAsia="Calibri" w:hAnsi="Calibri" w:cs="Tahoma"/>
                <w:color w:val="000000"/>
                <w:sz w:val="22"/>
                <w:szCs w:val="22"/>
                <w:lang w:eastAsia="en-US"/>
              </w:rPr>
              <w:t xml:space="preserve"> over the technology itself, and in a classroom as well as informal settings </w:t>
            </w:r>
            <w:r w:rsidR="00AC4872" w:rsidRPr="005379B3">
              <w:rPr>
                <w:rFonts w:ascii="Calibri" w:eastAsia="Calibri" w:hAnsi="Calibri" w:cs="Tahoma"/>
                <w:color w:val="000000"/>
                <w:sz w:val="22"/>
                <w:szCs w:val="22"/>
                <w:lang w:eastAsia="en-US"/>
              </w:rPr>
              <w:fldChar w:fldCharType="begin" w:fldLock="1"/>
            </w:r>
            <w:r w:rsidR="00AC4872" w:rsidRPr="005379B3">
              <w:rPr>
                <w:rFonts w:ascii="Calibri" w:eastAsia="Calibri" w:hAnsi="Calibri" w:cs="Tahoma"/>
                <w:color w:val="000000"/>
                <w:sz w:val="22"/>
                <w:szCs w:val="22"/>
                <w:lang w:eastAsia="en-US"/>
              </w:rPr>
              <w:instrText>ADDIN CSL_CITATION { "citationItems" : [ { "id" : "ITEM-1", "itemData" : { "DOI" : "10.1016/j.entcom.2016.09.002", "ISSN" : "18759521", "abstract" : "The Maker Movement has gathered much attention recently, and has been one of the fastest-growing topics, due to contemporary technical and infrastructural developments. The maker culture can be described as a philosophy in which individuals or groups of individuals create artifacts that are recreated and assembled using software and/or physical objects. Typical topics of interest in maker culture include engineering-oriented pursuits such as electronics, robotics, 3D printing, and computer numerical control tools, as well as more traditional activities such as sewing or arts and crafts. Scholars and educators have reported a variety of outcomes from the Maker Movement as an instructional process; however, the lack of a summary of these empirical studies prevents stakeholders from having a clear view of the benefits and challenges of this instructional culture. The purpose of this article is to provide a review of the Maker Movement approach in order to summarize the current findings and guide future studies. Forty-three peer-reviewed articles were collected from a systematic literature search and analyzed based on a categorization of their main elements. The results of this survey show the direction of Maker Movement research during recent years and the most common technologies, subjects, evaluation methods, and pedagogical designs. Suggestions for future research include a further investigation into the benefits of using a specific technological tool and analysis of the Maker Movement approach, particularly in classrooms. These future research efforts will allow us to better indicate which aspects and ingredients of \u201cmaking\u201d work better for which circumstances and student groups. The findings will ultimately allow us to form best practices and a unified framework for guiding/assisting educators who want to adopt this teaching style.", "author" : [ { "dropping-particle" : "", "family" : "Papavlasopoulou", "given" : "Sofia", "non-dropping-particle" : "", "parse-names" : false, "suffix" : "" }, { "dropping-particle" : "", "family" : "Giannakos", "given" : "Michail N.", "non-dropping-particle" : "", "parse-names" : false, "suffix" : "" }, { "dropping-particle" : "", "family" : "Jaccheri", "given" : "Letizia", "non-dropping-particle" : "", "parse-names" : false, "suffix" : "" } ], "container-title" : "Entertainment Computing", "id" : "ITEM-1", "issued" : { "date-parts" : [ [ "2016" ] ] }, "note" : "NULL", "page" : "57-78", "publisher" : "Elsevier B.V.", "title" : "Empirical Studies on the Maker Movement, a Promising Approach to Learning: A Literature Review", "type" : "article-journal", "volume" : "in press" }, "uris" : [ "http://www.mendeley.com/documents/?uuid=8059adb4-f877-43bd-a4b7-ecbcc2402551" ] } ], "mendeley" : { "formattedCitation" : "(Papavlasopoulou et al. 2016)", "plainTextFormattedCitation" : "(Papavlasopoulou et al. 2016)", "previouslyFormattedCitation" : "(Papavlasopoulou et al. 2016)" }, "properties" : { "noteIndex" : 0 }, "schema" : "https://github.com/citation-style-language/schema/raw/master/csl-citation.json" }</w:instrText>
            </w:r>
            <w:r w:rsidR="00AC4872" w:rsidRPr="005379B3">
              <w:rPr>
                <w:rFonts w:ascii="Calibri" w:eastAsia="Calibri" w:hAnsi="Calibri" w:cs="Tahoma"/>
                <w:color w:val="000000"/>
                <w:sz w:val="22"/>
                <w:szCs w:val="22"/>
                <w:lang w:eastAsia="en-US"/>
              </w:rPr>
              <w:fldChar w:fldCharType="separate"/>
            </w:r>
            <w:r w:rsidR="00AC4872" w:rsidRPr="005379B3">
              <w:rPr>
                <w:rFonts w:ascii="Calibri" w:eastAsia="Calibri" w:hAnsi="Calibri" w:cs="Tahoma"/>
                <w:noProof/>
                <w:color w:val="000000"/>
                <w:sz w:val="22"/>
                <w:szCs w:val="22"/>
                <w:lang w:eastAsia="en-US"/>
              </w:rPr>
              <w:t xml:space="preserve">(Papavlasopoulou </w:t>
            </w:r>
            <w:r w:rsidR="00AC4872" w:rsidRPr="005379B3">
              <w:rPr>
                <w:rFonts w:ascii="Calibri" w:eastAsia="Calibri" w:hAnsi="Calibri" w:cs="Tahoma"/>
                <w:i/>
                <w:noProof/>
                <w:color w:val="000000"/>
                <w:sz w:val="22"/>
                <w:szCs w:val="22"/>
                <w:lang w:eastAsia="en-US"/>
              </w:rPr>
              <w:t>et al.</w:t>
            </w:r>
            <w:r w:rsidR="00AC4872" w:rsidRPr="005379B3">
              <w:rPr>
                <w:rFonts w:ascii="Calibri" w:eastAsia="Calibri" w:hAnsi="Calibri" w:cs="Tahoma"/>
                <w:noProof/>
                <w:color w:val="000000"/>
                <w:sz w:val="22"/>
                <w:szCs w:val="22"/>
                <w:lang w:eastAsia="en-US"/>
              </w:rPr>
              <w:t xml:space="preserve"> 2016)</w:t>
            </w:r>
            <w:r w:rsidR="00AC4872" w:rsidRPr="005379B3">
              <w:rPr>
                <w:rFonts w:ascii="Calibri" w:eastAsia="Calibri" w:hAnsi="Calibri" w:cs="Tahoma"/>
                <w:color w:val="000000"/>
                <w:sz w:val="22"/>
                <w:szCs w:val="22"/>
                <w:lang w:eastAsia="en-US"/>
              </w:rPr>
              <w:fldChar w:fldCharType="end"/>
            </w:r>
            <w:r w:rsidR="00AC4872" w:rsidRPr="005379B3">
              <w:rPr>
                <w:rFonts w:ascii="Calibri" w:eastAsia="Calibri" w:hAnsi="Calibri" w:cs="Tahoma"/>
                <w:color w:val="000000"/>
                <w:sz w:val="22"/>
                <w:szCs w:val="22"/>
                <w:lang w:eastAsia="en-US"/>
              </w:rPr>
              <w:t>.</w:t>
            </w:r>
          </w:p>
          <w:p w14:paraId="233784D6" w14:textId="38E26806" w:rsidR="00775924" w:rsidRPr="00775924" w:rsidRDefault="00775924" w:rsidP="005379B3">
            <w:pPr>
              <w:spacing w:after="160" w:line="276" w:lineRule="auto"/>
              <w:rPr>
                <w:rFonts w:ascii="Calibri" w:eastAsia="Calibri" w:hAnsi="Calibri"/>
                <w:sz w:val="22"/>
                <w:szCs w:val="22"/>
                <w:lang w:eastAsia="en-US"/>
              </w:rPr>
            </w:pPr>
            <w:r w:rsidRPr="005379B3">
              <w:rPr>
                <w:rFonts w:ascii="Calibri" w:eastAsia="Calibri" w:hAnsi="Calibri" w:cs="Arial"/>
                <w:color w:val="000000"/>
                <w:sz w:val="22"/>
                <w:szCs w:val="22"/>
                <w:lang w:val="en" w:eastAsia="en-US"/>
              </w:rPr>
              <w:t>There is potential for</w:t>
            </w:r>
            <w:r w:rsidRPr="005379B3">
              <w:rPr>
                <w:rFonts w:ascii="Calibri" w:eastAsia="Calibri" w:hAnsi="Calibri" w:cs="Tahoma"/>
                <w:color w:val="000000"/>
                <w:sz w:val="22"/>
                <w:szCs w:val="22"/>
                <w:lang w:eastAsia="en-US"/>
              </w:rPr>
              <w:t xml:space="preserve"> educators</w:t>
            </w:r>
            <w:r w:rsidRPr="005379B3">
              <w:rPr>
                <w:rFonts w:ascii="Calibri" w:eastAsia="Calibri" w:hAnsi="Calibri" w:cs="Arial"/>
                <w:color w:val="000000"/>
                <w:sz w:val="22"/>
                <w:szCs w:val="22"/>
                <w:lang w:val="en" w:eastAsia="en-US"/>
              </w:rPr>
              <w:t xml:space="preserve"> and instructors in technology-infused classrooms</w:t>
            </w:r>
            <w:r w:rsidRPr="005379B3">
              <w:rPr>
                <w:rFonts w:ascii="Calibri" w:eastAsia="Calibri" w:hAnsi="Calibri" w:cs="Tahoma"/>
                <w:color w:val="000000"/>
                <w:sz w:val="22"/>
                <w:szCs w:val="22"/>
                <w:lang w:eastAsia="en-US"/>
              </w:rPr>
              <w:t xml:space="preserve"> to benefit from this work</w:t>
            </w:r>
            <w:r>
              <w:rPr>
                <w:rFonts w:ascii="Calibri" w:eastAsia="Calibri" w:hAnsi="Calibri" w:cs="Tahoma"/>
                <w:color w:val="000000"/>
                <w:sz w:val="22"/>
                <w:szCs w:val="22"/>
                <w:lang w:eastAsia="en-US"/>
              </w:rPr>
              <w:t>,</w:t>
            </w:r>
            <w:r w:rsidRPr="005379B3">
              <w:rPr>
                <w:rFonts w:ascii="Calibri" w:eastAsia="Calibri" w:hAnsi="Calibri" w:cs="Tahoma"/>
                <w:color w:val="000000"/>
                <w:sz w:val="22"/>
                <w:szCs w:val="22"/>
                <w:lang w:eastAsia="en-US"/>
              </w:rPr>
              <w:t xml:space="preserve"> as a better understanding of how students interact with information, and how this process of development works in </w:t>
            </w:r>
            <w:r>
              <w:rPr>
                <w:rFonts w:ascii="Calibri" w:eastAsia="Calibri" w:hAnsi="Calibri" w:cs="Tahoma"/>
                <w:color w:val="000000"/>
                <w:sz w:val="22"/>
                <w:szCs w:val="22"/>
                <w:lang w:eastAsia="en-US"/>
              </w:rPr>
              <w:t xml:space="preserve">creative STEM </w:t>
            </w:r>
            <w:r w:rsidRPr="005379B3">
              <w:rPr>
                <w:rFonts w:ascii="Calibri" w:eastAsia="Calibri" w:hAnsi="Calibri" w:cs="Tahoma"/>
                <w:color w:val="000000"/>
                <w:sz w:val="22"/>
                <w:szCs w:val="22"/>
                <w:lang w:eastAsia="en-US"/>
              </w:rPr>
              <w:t>context</w:t>
            </w:r>
            <w:r>
              <w:rPr>
                <w:rFonts w:ascii="Calibri" w:eastAsia="Calibri" w:hAnsi="Calibri" w:cs="Tahoma"/>
                <w:color w:val="000000"/>
                <w:sz w:val="22"/>
                <w:szCs w:val="22"/>
                <w:lang w:eastAsia="en-US"/>
              </w:rPr>
              <w:t>s</w:t>
            </w:r>
            <w:r w:rsidRPr="005379B3">
              <w:rPr>
                <w:rFonts w:ascii="Calibri" w:eastAsia="Calibri" w:hAnsi="Calibri" w:cs="Tahoma"/>
                <w:color w:val="000000"/>
                <w:sz w:val="22"/>
                <w:szCs w:val="22"/>
                <w:lang w:eastAsia="en-US"/>
              </w:rPr>
              <w:t xml:space="preserve"> will enable them to design scaffolding and/or interventions that support</w:t>
            </w:r>
            <w:r w:rsidRPr="005379B3">
              <w:rPr>
                <w:rFonts w:ascii="Calibri" w:eastAsia="Calibri" w:hAnsi="Calibri" w:cs="Arial"/>
                <w:color w:val="000000"/>
                <w:sz w:val="22"/>
                <w:szCs w:val="22"/>
                <w:lang w:eastAsia="en-US"/>
              </w:rPr>
              <w:t xml:space="preserve"> interactions with information objects and improve access to relevant sources.</w:t>
            </w:r>
            <w:r w:rsidRPr="005379B3">
              <w:rPr>
                <w:rFonts w:ascii="Calibri" w:eastAsia="Calibri" w:hAnsi="Calibri"/>
                <w:sz w:val="22"/>
                <w:szCs w:val="22"/>
                <w:lang w:eastAsia="en-US"/>
              </w:rPr>
              <w:t xml:space="preserve"> </w:t>
            </w:r>
            <w:r w:rsidRPr="005379B3" w:rsidDel="00AC4872">
              <w:rPr>
                <w:rFonts w:ascii="Calibri" w:eastAsia="Calibri" w:hAnsi="Calibri" w:cs="Tahoma"/>
                <w:color w:val="000000"/>
                <w:sz w:val="22"/>
                <w:szCs w:val="22"/>
                <w:lang w:eastAsia="en-US"/>
              </w:rPr>
              <w:t xml:space="preserve"> </w:t>
            </w:r>
          </w:p>
          <w:p w14:paraId="38D0297F" w14:textId="536E8937" w:rsidR="005379B3" w:rsidRPr="005379B3" w:rsidRDefault="005379B3" w:rsidP="005379B3">
            <w:pPr>
              <w:spacing w:after="160" w:line="276" w:lineRule="auto"/>
              <w:rPr>
                <w:rFonts w:ascii="Calibri" w:eastAsia="Calibri" w:hAnsi="Calibri" w:cs="Arial"/>
                <w:color w:val="000000"/>
                <w:sz w:val="22"/>
                <w:szCs w:val="22"/>
                <w:lang w:eastAsia="en-US"/>
              </w:rPr>
            </w:pPr>
            <w:r w:rsidRPr="005379B3">
              <w:rPr>
                <w:rFonts w:ascii="Calibri" w:hAnsi="Calibri"/>
                <w:color w:val="2E74B5"/>
                <w:sz w:val="26"/>
                <w:szCs w:val="26"/>
                <w:lang w:eastAsia="en-US"/>
              </w:rPr>
              <w:t>Methodology</w:t>
            </w:r>
          </w:p>
          <w:p w14:paraId="1B5B4267" w14:textId="1BB05713" w:rsidR="00AC4872" w:rsidRDefault="00AC4872" w:rsidP="005379B3">
            <w:pPr>
              <w:spacing w:after="160" w:line="276" w:lineRule="auto"/>
              <w:jc w:val="both"/>
              <w:rPr>
                <w:rFonts w:ascii="Calibri" w:eastAsia="Calibri" w:hAnsi="Calibri"/>
                <w:color w:val="000000"/>
                <w:sz w:val="22"/>
                <w:szCs w:val="22"/>
                <w:lang w:eastAsia="en-US"/>
              </w:rPr>
            </w:pPr>
            <w:r w:rsidRPr="00AC4872">
              <w:rPr>
                <w:rFonts w:ascii="Calibri" w:eastAsia="Calibri" w:hAnsi="Calibri" w:cs="Arial"/>
                <w:sz w:val="22"/>
                <w:szCs w:val="22"/>
                <w:lang w:eastAsia="en-US"/>
              </w:rPr>
              <w:t>This study examined students’ metacognitive knowledge of how they seek and use information during problem solving in a technology-infused learning environment. It applied an interpretivist, inductive case study approach to gather qualitative data from students by observation, interview and weekly online questioning about their experience and behaviour.</w:t>
            </w:r>
            <w:r w:rsidR="00310AB0">
              <w:rPr>
                <w:rFonts w:ascii="Calibri" w:eastAsia="Calibri" w:hAnsi="Calibri" w:cs="Arial"/>
                <w:sz w:val="22"/>
                <w:szCs w:val="22"/>
                <w:lang w:eastAsia="en-US"/>
              </w:rPr>
              <w:t xml:space="preserve"> </w:t>
            </w:r>
          </w:p>
          <w:p w14:paraId="0E5E7EF9" w14:textId="1E885719" w:rsidR="005379B3" w:rsidRPr="005379B3" w:rsidRDefault="006D2967" w:rsidP="005379B3">
            <w:pPr>
              <w:spacing w:after="160" w:line="276" w:lineRule="auto"/>
              <w:jc w:val="both"/>
              <w:rPr>
                <w:rFonts w:ascii="Calibri" w:eastAsia="Calibri" w:hAnsi="Calibri"/>
                <w:color w:val="000000"/>
                <w:sz w:val="22"/>
                <w:szCs w:val="22"/>
                <w:lang w:eastAsia="en-US"/>
              </w:rPr>
            </w:pPr>
            <w:r>
              <w:rPr>
                <w:rFonts w:ascii="Calibri" w:eastAsia="Calibri" w:hAnsi="Calibri"/>
                <w:color w:val="000000"/>
                <w:sz w:val="22"/>
                <w:szCs w:val="22"/>
                <w:lang w:eastAsia="en-US"/>
              </w:rPr>
              <w:t>The case study</w:t>
            </w:r>
            <w:r w:rsidR="00AC4872">
              <w:rPr>
                <w:rFonts w:ascii="Calibri" w:eastAsia="Calibri" w:hAnsi="Calibri"/>
                <w:color w:val="000000"/>
                <w:sz w:val="22"/>
                <w:szCs w:val="22"/>
                <w:lang w:eastAsia="en-US"/>
              </w:rPr>
              <w:t xml:space="preserve"> </w:t>
            </w:r>
            <w:r w:rsidR="005379B3" w:rsidRPr="005379B3">
              <w:rPr>
                <w:rFonts w:ascii="Calibri" w:eastAsia="Calibri" w:hAnsi="Calibri"/>
                <w:color w:val="000000"/>
                <w:sz w:val="22"/>
                <w:szCs w:val="22"/>
                <w:lang w:eastAsia="en-US"/>
              </w:rPr>
              <w:t xml:space="preserve">was conducted in a high school “Tech” classroom (students age 16-18) at the Manufacturing Technology Academy (MTA) in Traverse City, MI. </w:t>
            </w:r>
            <w:r w:rsidR="001C4FA0">
              <w:rPr>
                <w:rFonts w:ascii="Calibri" w:eastAsia="Calibri" w:hAnsi="Calibri"/>
                <w:color w:val="000000"/>
                <w:sz w:val="22"/>
                <w:szCs w:val="22"/>
                <w:lang w:eastAsia="en-US"/>
              </w:rPr>
              <w:t>The</w:t>
            </w:r>
            <w:r w:rsidR="005379B3" w:rsidRPr="005379B3">
              <w:rPr>
                <w:rFonts w:ascii="Calibri" w:eastAsia="Calibri" w:hAnsi="Calibri" w:cs="Arial"/>
                <w:bCs/>
                <w:color w:val="000000"/>
                <w:sz w:val="22"/>
                <w:szCs w:val="22"/>
                <w:lang w:eastAsia="en-US"/>
              </w:rPr>
              <w:t xml:space="preserve"> </w:t>
            </w:r>
            <w:r w:rsidR="001C4FA0">
              <w:rPr>
                <w:rFonts w:ascii="Calibri" w:eastAsia="Calibri" w:hAnsi="Calibri" w:cs="Arial"/>
                <w:bCs/>
                <w:color w:val="000000"/>
                <w:sz w:val="22"/>
                <w:szCs w:val="22"/>
                <w:lang w:eastAsia="en-US"/>
              </w:rPr>
              <w:t>STEM-rich curriculum</w:t>
            </w:r>
            <w:r w:rsidR="001D36FE">
              <w:rPr>
                <w:rFonts w:ascii="Calibri" w:eastAsia="Calibri" w:hAnsi="Calibri" w:cs="Arial"/>
                <w:bCs/>
                <w:color w:val="000000"/>
                <w:sz w:val="22"/>
                <w:szCs w:val="22"/>
                <w:lang w:eastAsia="en-US"/>
              </w:rPr>
              <w:t xml:space="preserve"> at the MTA</w:t>
            </w:r>
            <w:r w:rsidR="001C4FA0">
              <w:rPr>
                <w:rFonts w:ascii="Calibri" w:eastAsia="Calibri" w:hAnsi="Calibri" w:cs="Arial"/>
                <w:bCs/>
                <w:color w:val="000000"/>
                <w:sz w:val="22"/>
                <w:szCs w:val="22"/>
                <w:lang w:eastAsia="en-US"/>
              </w:rPr>
              <w:t xml:space="preserve"> centres on student-led</w:t>
            </w:r>
            <w:r w:rsidR="005379B3" w:rsidRPr="005379B3">
              <w:rPr>
                <w:rFonts w:ascii="Calibri" w:eastAsia="Calibri" w:hAnsi="Calibri" w:cs="Arial"/>
                <w:bCs/>
                <w:color w:val="000000"/>
                <w:sz w:val="22"/>
                <w:szCs w:val="22"/>
                <w:lang w:eastAsia="en-US"/>
              </w:rPr>
              <w:t xml:space="preserve"> </w:t>
            </w:r>
            <w:r w:rsidR="001C4FA0">
              <w:rPr>
                <w:rFonts w:ascii="Calibri" w:eastAsia="Calibri" w:hAnsi="Calibri" w:cs="Arial"/>
                <w:bCs/>
                <w:color w:val="000000"/>
                <w:sz w:val="22"/>
                <w:szCs w:val="22"/>
                <w:lang w:eastAsia="en-US"/>
              </w:rPr>
              <w:t>robotics engineering projects</w:t>
            </w:r>
            <w:r w:rsidR="005379B3" w:rsidRPr="005379B3">
              <w:rPr>
                <w:rFonts w:ascii="Calibri" w:eastAsia="Calibri" w:hAnsi="Calibri" w:cs="Arial"/>
                <w:bCs/>
                <w:color w:val="000000"/>
                <w:sz w:val="22"/>
                <w:szCs w:val="22"/>
                <w:lang w:eastAsia="en-US"/>
              </w:rPr>
              <w:t xml:space="preserve">, </w:t>
            </w:r>
            <w:r w:rsidR="001D36FE">
              <w:rPr>
                <w:rFonts w:ascii="Calibri" w:eastAsia="Calibri" w:hAnsi="Calibri" w:cs="Arial"/>
                <w:bCs/>
                <w:color w:val="000000"/>
                <w:sz w:val="22"/>
                <w:szCs w:val="22"/>
                <w:lang w:eastAsia="en-US"/>
              </w:rPr>
              <w:t>requiring</w:t>
            </w:r>
            <w:r w:rsidR="002B6597">
              <w:rPr>
                <w:rFonts w:ascii="Calibri" w:eastAsia="Calibri" w:hAnsi="Calibri" w:cs="Arial"/>
                <w:bCs/>
                <w:color w:val="000000"/>
                <w:sz w:val="22"/>
                <w:szCs w:val="22"/>
                <w:lang w:eastAsia="en-US"/>
              </w:rPr>
              <w:t xml:space="preserve"> months of </w:t>
            </w:r>
            <w:r w:rsidR="001D36FE">
              <w:rPr>
                <w:rFonts w:ascii="Calibri" w:eastAsia="Calibri" w:hAnsi="Calibri" w:cs="Arial"/>
                <w:bCs/>
                <w:color w:val="000000"/>
                <w:sz w:val="22"/>
                <w:szCs w:val="22"/>
                <w:lang w:eastAsia="en-US"/>
              </w:rPr>
              <w:t xml:space="preserve">research, </w:t>
            </w:r>
            <w:r w:rsidR="002B6597">
              <w:rPr>
                <w:rFonts w:ascii="Calibri" w:eastAsia="Calibri" w:hAnsi="Calibri" w:cs="Arial"/>
                <w:bCs/>
                <w:color w:val="000000"/>
                <w:sz w:val="22"/>
                <w:szCs w:val="22"/>
                <w:lang w:eastAsia="en-US"/>
              </w:rPr>
              <w:t>iterative design</w:t>
            </w:r>
            <w:r w:rsidR="001D36FE">
              <w:rPr>
                <w:rFonts w:ascii="Calibri" w:eastAsia="Calibri" w:hAnsi="Calibri" w:cs="Arial"/>
                <w:bCs/>
                <w:color w:val="000000"/>
                <w:sz w:val="22"/>
                <w:szCs w:val="22"/>
                <w:lang w:eastAsia="en-US"/>
              </w:rPr>
              <w:t>,</w:t>
            </w:r>
            <w:r w:rsidR="002B6597">
              <w:rPr>
                <w:rFonts w:ascii="Calibri" w:eastAsia="Calibri" w:hAnsi="Calibri" w:cs="Arial"/>
                <w:bCs/>
                <w:color w:val="000000"/>
                <w:sz w:val="22"/>
                <w:szCs w:val="22"/>
                <w:lang w:eastAsia="en-US"/>
              </w:rPr>
              <w:t xml:space="preserve"> </w:t>
            </w:r>
            <w:r w:rsidR="005379B3" w:rsidRPr="005379B3">
              <w:rPr>
                <w:rFonts w:ascii="Calibri" w:eastAsia="Calibri" w:hAnsi="Calibri" w:cs="Arial"/>
                <w:bCs/>
                <w:color w:val="000000"/>
                <w:sz w:val="22"/>
                <w:szCs w:val="22"/>
                <w:lang w:eastAsia="en-US"/>
              </w:rPr>
              <w:t>and complex problem solving.</w:t>
            </w:r>
            <w:r w:rsidR="005379B3" w:rsidRPr="005379B3">
              <w:rPr>
                <w:rFonts w:ascii="Calibri" w:eastAsia="Calibri" w:hAnsi="Calibri" w:cs="Arial"/>
                <w:color w:val="000000"/>
                <w:sz w:val="22"/>
                <w:szCs w:val="22"/>
                <w:lang w:eastAsia="en-US"/>
              </w:rPr>
              <w:t xml:space="preserve"> </w:t>
            </w:r>
            <w:r w:rsidR="005379B3" w:rsidRPr="005379B3">
              <w:rPr>
                <w:rFonts w:ascii="Calibri" w:eastAsia="Calibri" w:hAnsi="Calibri" w:cs="AdvOT8cb2ddbd"/>
                <w:color w:val="000000"/>
                <w:sz w:val="22"/>
                <w:szCs w:val="22"/>
                <w:lang w:eastAsia="en-US"/>
              </w:rPr>
              <w:t xml:space="preserve">Fifty-three students </w:t>
            </w:r>
            <w:r w:rsidR="001D36FE">
              <w:rPr>
                <w:rFonts w:ascii="Calibri" w:eastAsia="Calibri" w:hAnsi="Calibri" w:cs="Tahoma"/>
                <w:color w:val="000000"/>
                <w:sz w:val="22"/>
                <w:szCs w:val="22"/>
                <w:lang w:eastAsia="en-US"/>
              </w:rPr>
              <w:t>work in teams throughout the academic year to design, construct, and compete</w:t>
            </w:r>
            <w:r w:rsidR="005379B3" w:rsidRPr="005379B3">
              <w:rPr>
                <w:rFonts w:ascii="Calibri" w:eastAsia="Calibri" w:hAnsi="Calibri" w:cs="Tahoma"/>
                <w:color w:val="000000"/>
                <w:sz w:val="22"/>
                <w:szCs w:val="22"/>
                <w:lang w:eastAsia="en-US"/>
              </w:rPr>
              <w:t xml:space="preserve"> with their robots</w:t>
            </w:r>
            <w:r w:rsidR="001D36FE">
              <w:rPr>
                <w:rFonts w:ascii="Calibri" w:eastAsia="Calibri" w:hAnsi="Calibri" w:cs="Tahoma"/>
                <w:color w:val="000000"/>
                <w:sz w:val="22"/>
                <w:szCs w:val="22"/>
                <w:lang w:eastAsia="en-US"/>
              </w:rPr>
              <w:t xml:space="preserve"> in the spring</w:t>
            </w:r>
            <w:r w:rsidR="005379B3" w:rsidRPr="005379B3">
              <w:rPr>
                <w:rFonts w:ascii="Calibri" w:eastAsia="Calibri" w:hAnsi="Calibri" w:cs="Tahoma"/>
                <w:color w:val="000000"/>
                <w:sz w:val="22"/>
                <w:szCs w:val="22"/>
                <w:lang w:eastAsia="en-US"/>
              </w:rPr>
              <w:t xml:space="preserve">. Online questionnaire data collection has been ongoing since January 2017, and two weeks of </w:t>
            </w:r>
            <w:r w:rsidR="005379B3" w:rsidRPr="005379B3">
              <w:rPr>
                <w:rFonts w:ascii="Calibri" w:eastAsia="Calibri" w:hAnsi="Calibri"/>
                <w:color w:val="000000"/>
                <w:sz w:val="22"/>
                <w:szCs w:val="22"/>
                <w:lang w:eastAsia="en-US"/>
              </w:rPr>
              <w:t xml:space="preserve">classroom observation and semi-structured interviews took place in March 2017. Field notes, audio recordings, and interviews were coded using NVIVO 11. </w:t>
            </w:r>
          </w:p>
          <w:p w14:paraId="2406CE4C" w14:textId="11CBC052" w:rsidR="00AC4872" w:rsidRPr="00AC4872" w:rsidRDefault="00AC4872" w:rsidP="00AC4872">
            <w:pPr>
              <w:spacing w:after="160" w:line="276" w:lineRule="auto"/>
              <w:jc w:val="both"/>
              <w:rPr>
                <w:rFonts w:ascii="Calibri" w:eastAsia="Calibri" w:hAnsi="Calibri"/>
                <w:color w:val="000000"/>
                <w:sz w:val="22"/>
                <w:szCs w:val="22"/>
                <w:lang w:eastAsia="en-US"/>
              </w:rPr>
            </w:pPr>
            <w:r w:rsidRPr="00AC4872">
              <w:rPr>
                <w:rFonts w:ascii="Calibri" w:eastAsia="Calibri" w:hAnsi="Calibri"/>
                <w:color w:val="000000"/>
                <w:sz w:val="22"/>
                <w:szCs w:val="22"/>
                <w:lang w:eastAsia="en-US"/>
              </w:rPr>
              <w:t>For an interpretive framework</w:t>
            </w:r>
            <w:r>
              <w:rPr>
                <w:rFonts w:ascii="Calibri" w:eastAsia="Calibri" w:hAnsi="Calibri"/>
                <w:color w:val="000000"/>
                <w:sz w:val="22"/>
                <w:szCs w:val="22"/>
                <w:lang w:eastAsia="en-US"/>
              </w:rPr>
              <w:t>,</w:t>
            </w:r>
            <w:r w:rsidRPr="00AC4872">
              <w:rPr>
                <w:rFonts w:ascii="Calibri" w:eastAsia="Calibri" w:hAnsi="Calibri"/>
                <w:color w:val="000000"/>
                <w:sz w:val="22"/>
                <w:szCs w:val="22"/>
                <w:lang w:eastAsia="en-US"/>
              </w:rPr>
              <w:t xml:space="preserve"> the study applies a modified version of Kuhlthau’s (1988) information search process model (ISP) that considers metacognitive information search behaviours such as those defined by Bowler (2010), i.e. balancing and scaffolding, as evidence of deep, critical thinking that enables </w:t>
            </w:r>
            <w:r w:rsidRPr="00AC4872">
              <w:rPr>
                <w:rFonts w:ascii="Calibri" w:eastAsia="Calibri" w:hAnsi="Calibri"/>
                <w:color w:val="000000"/>
                <w:sz w:val="22"/>
                <w:szCs w:val="22"/>
                <w:lang w:eastAsia="en-US"/>
              </w:rPr>
              <w:lastRenderedPageBreak/>
              <w:t>students to become independent learners. With this framework, student approaches to information problem solving are explored when they become “stuck” designing artefacts with digital technologies such as 3D design and 3D printing. The results from Bowler demonstrate promise for this subject but her focus was on students writing a historical research paper, a content area wholly different from STEM design and engineering.</w:t>
            </w:r>
            <w:r w:rsidR="00E75D60">
              <w:rPr>
                <w:rFonts w:ascii="Calibri" w:eastAsia="Calibri" w:hAnsi="Calibri"/>
                <w:color w:val="000000"/>
                <w:sz w:val="22"/>
                <w:szCs w:val="22"/>
                <w:lang w:eastAsia="en-US"/>
              </w:rPr>
              <w:t xml:space="preserve"> </w:t>
            </w:r>
          </w:p>
          <w:p w14:paraId="79885F04" w14:textId="77777777" w:rsidR="005379B3" w:rsidRPr="005379B3" w:rsidRDefault="005379B3" w:rsidP="005379B3">
            <w:pPr>
              <w:keepNext/>
              <w:keepLines/>
              <w:spacing w:before="40" w:line="276" w:lineRule="auto"/>
              <w:outlineLvl w:val="1"/>
              <w:rPr>
                <w:rFonts w:ascii="Calibri" w:hAnsi="Calibri"/>
                <w:color w:val="2E74B5"/>
                <w:sz w:val="26"/>
                <w:szCs w:val="26"/>
                <w:lang w:eastAsia="en-US"/>
              </w:rPr>
            </w:pPr>
            <w:r w:rsidRPr="005379B3">
              <w:rPr>
                <w:rFonts w:ascii="Calibri" w:hAnsi="Calibri"/>
                <w:color w:val="2E74B5"/>
                <w:sz w:val="26"/>
                <w:szCs w:val="26"/>
                <w:lang w:eastAsia="en-US"/>
              </w:rPr>
              <w:t>Findings</w:t>
            </w:r>
          </w:p>
          <w:p w14:paraId="7FB2044D" w14:textId="04096344" w:rsidR="005379B3" w:rsidRPr="005379B3" w:rsidRDefault="005379B3" w:rsidP="005379B3">
            <w:pPr>
              <w:spacing w:after="160" w:line="276" w:lineRule="auto"/>
              <w:jc w:val="both"/>
              <w:rPr>
                <w:rFonts w:ascii="Calibri" w:eastAsia="Calibri" w:hAnsi="Calibri" w:cs="Tahoma"/>
                <w:color w:val="000000"/>
                <w:sz w:val="22"/>
                <w:szCs w:val="22"/>
                <w:lang w:eastAsia="en-US"/>
              </w:rPr>
            </w:pPr>
            <w:r w:rsidRPr="005379B3">
              <w:rPr>
                <w:rFonts w:ascii="Calibri" w:eastAsia="Calibri" w:hAnsi="Calibri" w:cs="Tahoma"/>
                <w:color w:val="000000"/>
                <w:sz w:val="22"/>
                <w:szCs w:val="22"/>
                <w:lang w:eastAsia="en-US"/>
              </w:rPr>
              <w:t>Initial conc</w:t>
            </w:r>
            <w:r w:rsidR="00C61F3C">
              <w:rPr>
                <w:rFonts w:ascii="Calibri" w:eastAsia="Calibri" w:hAnsi="Calibri" w:cs="Tahoma"/>
                <w:color w:val="000000"/>
                <w:sz w:val="22"/>
                <w:szCs w:val="22"/>
                <w:lang w:eastAsia="en-US"/>
              </w:rPr>
              <w:t xml:space="preserve">lusions are that a </w:t>
            </w:r>
            <w:r w:rsidR="00014309">
              <w:rPr>
                <w:rFonts w:ascii="Calibri" w:eastAsia="Calibri" w:hAnsi="Calibri" w:cs="Tahoma"/>
                <w:color w:val="000000"/>
                <w:sz w:val="22"/>
                <w:szCs w:val="22"/>
                <w:lang w:eastAsia="en-US"/>
              </w:rPr>
              <w:t>number</w:t>
            </w:r>
            <w:r w:rsidRPr="005379B3">
              <w:rPr>
                <w:rFonts w:ascii="Calibri" w:eastAsia="Calibri" w:hAnsi="Calibri" w:cs="Tahoma"/>
                <w:color w:val="000000"/>
                <w:sz w:val="22"/>
                <w:szCs w:val="22"/>
                <w:lang w:eastAsia="en-US"/>
              </w:rPr>
              <w:t xml:space="preserve"> of students demonstrate many of Bowler’s (2010) categories of metacognitive knowledge, including changing direction, knowing strengths and weaknesses, and understanding time and e</w:t>
            </w:r>
            <w:r w:rsidR="007915B6">
              <w:rPr>
                <w:rFonts w:ascii="Calibri" w:eastAsia="Calibri" w:hAnsi="Calibri" w:cs="Tahoma"/>
                <w:color w:val="000000"/>
                <w:sz w:val="22"/>
                <w:szCs w:val="22"/>
                <w:lang w:eastAsia="en-US"/>
              </w:rPr>
              <w:t>ffort. Grappling with challenges in their robotics projects,</w:t>
            </w:r>
            <w:r w:rsidR="00014309">
              <w:rPr>
                <w:rFonts w:ascii="Calibri" w:eastAsia="Calibri" w:hAnsi="Calibri" w:cs="Tahoma"/>
                <w:color w:val="000000"/>
                <w:sz w:val="22"/>
                <w:szCs w:val="22"/>
                <w:lang w:eastAsia="en-US"/>
              </w:rPr>
              <w:t xml:space="preserve"> </w:t>
            </w:r>
            <w:r w:rsidR="00CE7E21">
              <w:rPr>
                <w:rFonts w:ascii="Calibri" w:eastAsia="Calibri" w:hAnsi="Calibri" w:cs="Tahoma"/>
                <w:color w:val="000000"/>
                <w:sz w:val="22"/>
                <w:szCs w:val="22"/>
                <w:lang w:eastAsia="en-US"/>
              </w:rPr>
              <w:t xml:space="preserve">these </w:t>
            </w:r>
            <w:r w:rsidR="00014309">
              <w:rPr>
                <w:rFonts w:ascii="Calibri" w:eastAsia="Calibri" w:hAnsi="Calibri" w:cs="Tahoma"/>
                <w:color w:val="000000"/>
                <w:sz w:val="22"/>
                <w:szCs w:val="22"/>
                <w:lang w:eastAsia="en-US"/>
              </w:rPr>
              <w:t xml:space="preserve">students exhibit </w:t>
            </w:r>
            <w:r w:rsidR="007915B6">
              <w:rPr>
                <w:rFonts w:ascii="Calibri" w:eastAsia="Calibri" w:hAnsi="Calibri" w:cs="Tahoma"/>
                <w:color w:val="000000"/>
                <w:sz w:val="22"/>
                <w:szCs w:val="22"/>
                <w:lang w:eastAsia="en-US"/>
              </w:rPr>
              <w:t xml:space="preserve">habits and </w:t>
            </w:r>
            <w:r w:rsidRPr="005379B3">
              <w:rPr>
                <w:rFonts w:ascii="Calibri" w:eastAsia="Calibri" w:hAnsi="Calibri" w:cs="Tahoma"/>
                <w:color w:val="000000"/>
                <w:sz w:val="22"/>
                <w:szCs w:val="22"/>
                <w:lang w:eastAsia="en-US"/>
              </w:rPr>
              <w:t xml:space="preserve">perceptions of information seeking </w:t>
            </w:r>
            <w:r w:rsidR="00660867">
              <w:rPr>
                <w:rFonts w:ascii="Calibri" w:eastAsia="Calibri" w:hAnsi="Calibri" w:cs="Tahoma"/>
                <w:color w:val="000000"/>
                <w:sz w:val="22"/>
                <w:szCs w:val="22"/>
                <w:lang w:eastAsia="en-US"/>
              </w:rPr>
              <w:t xml:space="preserve">that </w:t>
            </w:r>
            <w:r w:rsidR="00CE7E21">
              <w:rPr>
                <w:rFonts w:ascii="Calibri" w:eastAsia="Calibri" w:hAnsi="Calibri" w:cs="Tahoma"/>
                <w:color w:val="000000"/>
                <w:sz w:val="22"/>
                <w:szCs w:val="22"/>
                <w:lang w:eastAsia="en-US"/>
              </w:rPr>
              <w:t>demonstrate</w:t>
            </w:r>
            <w:r w:rsidR="007915B6">
              <w:rPr>
                <w:rFonts w:ascii="Calibri" w:eastAsia="Calibri" w:hAnsi="Calibri" w:cs="Tahoma"/>
                <w:color w:val="000000"/>
                <w:sz w:val="22"/>
                <w:szCs w:val="22"/>
                <w:lang w:eastAsia="en-US"/>
              </w:rPr>
              <w:t xml:space="preserve"> metacognitive </w:t>
            </w:r>
            <w:r w:rsidR="00CE7E21">
              <w:rPr>
                <w:rFonts w:ascii="Calibri" w:eastAsia="Calibri" w:hAnsi="Calibri" w:cs="Tahoma"/>
                <w:color w:val="000000"/>
                <w:sz w:val="22"/>
                <w:szCs w:val="22"/>
                <w:lang w:eastAsia="en-US"/>
              </w:rPr>
              <w:t xml:space="preserve">ways of thinking about their own abilities in relation to difficult tasks. </w:t>
            </w:r>
            <w:r w:rsidR="005E0544">
              <w:rPr>
                <w:rFonts w:ascii="Calibri" w:eastAsia="Calibri" w:hAnsi="Calibri" w:cs="Tahoma"/>
                <w:color w:val="000000"/>
                <w:sz w:val="22"/>
                <w:szCs w:val="22"/>
                <w:lang w:eastAsia="en-US"/>
              </w:rPr>
              <w:t>Their questionnaire and interview responses evidence critical thinking about how to s</w:t>
            </w:r>
            <w:r w:rsidR="00CE7E21">
              <w:rPr>
                <w:rFonts w:ascii="Calibri" w:eastAsia="Calibri" w:hAnsi="Calibri" w:cs="Tahoma"/>
                <w:color w:val="000000"/>
                <w:sz w:val="22"/>
                <w:szCs w:val="22"/>
                <w:lang w:eastAsia="en-US"/>
              </w:rPr>
              <w:t>trategiz</w:t>
            </w:r>
            <w:r w:rsidRPr="005379B3">
              <w:rPr>
                <w:rFonts w:ascii="Calibri" w:eastAsia="Calibri" w:hAnsi="Calibri" w:cs="Tahoma"/>
                <w:color w:val="000000"/>
                <w:sz w:val="22"/>
                <w:szCs w:val="22"/>
                <w:lang w:eastAsia="en-US"/>
              </w:rPr>
              <w:t>e, adapt to novel situations, perceive risk appropriately, persist through difficulty, react to failure productively, and determine efficient and appropriate methods of information seeking. Prior experience and practical ideas ar</w:t>
            </w:r>
            <w:r w:rsidR="005E0544">
              <w:rPr>
                <w:rFonts w:ascii="Calibri" w:eastAsia="Calibri" w:hAnsi="Calibri" w:cs="Tahoma"/>
                <w:color w:val="000000"/>
                <w:sz w:val="22"/>
                <w:szCs w:val="22"/>
                <w:lang w:eastAsia="en-US"/>
              </w:rPr>
              <w:t xml:space="preserve">e highly sought after in their </w:t>
            </w:r>
            <w:r w:rsidRPr="005379B3">
              <w:rPr>
                <w:rFonts w:ascii="Calibri" w:eastAsia="Calibri" w:hAnsi="Calibri" w:cs="Tahoma"/>
                <w:color w:val="000000"/>
                <w:sz w:val="22"/>
                <w:szCs w:val="22"/>
                <w:lang w:eastAsia="en-US"/>
              </w:rPr>
              <w:t>i</w:t>
            </w:r>
            <w:r w:rsidR="005E0544">
              <w:rPr>
                <w:rFonts w:ascii="Calibri" w:eastAsia="Calibri" w:hAnsi="Calibri" w:cs="Tahoma"/>
                <w:color w:val="000000"/>
                <w:sz w:val="22"/>
                <w:szCs w:val="22"/>
                <w:lang w:eastAsia="en-US"/>
              </w:rPr>
              <w:t>nformation searches, and while they</w:t>
            </w:r>
            <w:r w:rsidRPr="005379B3">
              <w:rPr>
                <w:rFonts w:ascii="Calibri" w:eastAsia="Calibri" w:hAnsi="Calibri" w:cs="Tahoma"/>
                <w:color w:val="000000"/>
                <w:sz w:val="22"/>
                <w:szCs w:val="22"/>
                <w:lang w:eastAsia="en-US"/>
              </w:rPr>
              <w:t xml:space="preserve"> rely on their peers </w:t>
            </w:r>
            <w:r w:rsidR="005E0544">
              <w:rPr>
                <w:rFonts w:ascii="Calibri" w:eastAsia="Calibri" w:hAnsi="Calibri" w:cs="Tahoma"/>
                <w:color w:val="000000"/>
                <w:sz w:val="22"/>
                <w:szCs w:val="22"/>
                <w:lang w:eastAsia="en-US"/>
              </w:rPr>
              <w:t xml:space="preserve">and instructors </w:t>
            </w:r>
            <w:r w:rsidRPr="005379B3">
              <w:rPr>
                <w:rFonts w:ascii="Calibri" w:eastAsia="Calibri" w:hAnsi="Calibri" w:cs="Tahoma"/>
                <w:color w:val="000000"/>
                <w:sz w:val="22"/>
                <w:szCs w:val="22"/>
                <w:lang w:eastAsia="en-US"/>
              </w:rPr>
              <w:t>for immediate h</w:t>
            </w:r>
            <w:r w:rsidR="00AE0A83">
              <w:rPr>
                <w:rFonts w:ascii="Calibri" w:eastAsia="Calibri" w:hAnsi="Calibri" w:cs="Tahoma"/>
                <w:color w:val="000000"/>
                <w:sz w:val="22"/>
                <w:szCs w:val="22"/>
                <w:lang w:eastAsia="en-US"/>
              </w:rPr>
              <w:t>elp and feedback, they prioritis</w:t>
            </w:r>
            <w:r w:rsidRPr="005379B3">
              <w:rPr>
                <w:rFonts w:ascii="Calibri" w:eastAsia="Calibri" w:hAnsi="Calibri" w:cs="Tahoma"/>
                <w:color w:val="000000"/>
                <w:sz w:val="22"/>
                <w:szCs w:val="22"/>
                <w:lang w:eastAsia="en-US"/>
              </w:rPr>
              <w:t xml:space="preserve">e YouTube videos as the primary resource to teach themselves new skills or to generate ideas for their robot designs. </w:t>
            </w:r>
          </w:p>
          <w:p w14:paraId="6B5BF4E2" w14:textId="6FC033AC" w:rsidR="005379B3" w:rsidRPr="005379B3" w:rsidRDefault="00EF0600" w:rsidP="005379B3">
            <w:pPr>
              <w:spacing w:after="160" w:line="276" w:lineRule="auto"/>
              <w:rPr>
                <w:rFonts w:ascii="Calibri" w:eastAsia="Calibri" w:hAnsi="Calibri" w:cs="Tahoma"/>
                <w:color w:val="000000"/>
                <w:sz w:val="22"/>
                <w:szCs w:val="22"/>
                <w:lang w:eastAsia="en-US"/>
              </w:rPr>
            </w:pPr>
            <w:r>
              <w:rPr>
                <w:rFonts w:ascii="Calibri" w:eastAsia="Calibri" w:hAnsi="Calibri" w:cs="Tahoma"/>
                <w:color w:val="000000"/>
                <w:sz w:val="22"/>
                <w:szCs w:val="22"/>
                <w:lang w:eastAsia="en-US"/>
              </w:rPr>
              <w:t>The open-ended nature of the robotics engineering and design problems prompts s</w:t>
            </w:r>
            <w:r w:rsidR="006D2EA2">
              <w:rPr>
                <w:rFonts w:ascii="Calibri" w:eastAsia="Calibri" w:hAnsi="Calibri" w:cs="Tahoma"/>
                <w:color w:val="000000"/>
                <w:sz w:val="22"/>
                <w:szCs w:val="22"/>
                <w:lang w:eastAsia="en-US"/>
              </w:rPr>
              <w:t xml:space="preserve">tudents </w:t>
            </w:r>
            <w:r>
              <w:rPr>
                <w:rFonts w:ascii="Calibri" w:eastAsia="Calibri" w:hAnsi="Calibri" w:cs="Tahoma"/>
                <w:color w:val="000000"/>
                <w:sz w:val="22"/>
                <w:szCs w:val="22"/>
                <w:lang w:eastAsia="en-US"/>
              </w:rPr>
              <w:t xml:space="preserve">to be creative about what information resources will move them closer to a solution. MTA students constantly weigh the value of </w:t>
            </w:r>
            <w:r w:rsidR="005379B3" w:rsidRPr="005379B3">
              <w:rPr>
                <w:rFonts w:ascii="Calibri" w:eastAsia="Calibri" w:hAnsi="Calibri" w:cs="Tahoma"/>
                <w:color w:val="000000"/>
                <w:sz w:val="22"/>
                <w:szCs w:val="22"/>
                <w:lang w:eastAsia="en-US"/>
              </w:rPr>
              <w:t>information</w:t>
            </w:r>
            <w:r>
              <w:rPr>
                <w:rFonts w:ascii="Calibri" w:eastAsia="Calibri" w:hAnsi="Calibri" w:cs="Tahoma"/>
                <w:color w:val="000000"/>
                <w:sz w:val="22"/>
                <w:szCs w:val="22"/>
                <w:lang w:eastAsia="en-US"/>
              </w:rPr>
              <w:t xml:space="preserve"> from ‘traditional’</w:t>
            </w:r>
            <w:r w:rsidR="005379B3" w:rsidRPr="005379B3">
              <w:rPr>
                <w:rFonts w:ascii="Calibri" w:eastAsia="Calibri" w:hAnsi="Calibri" w:cs="Tahoma"/>
                <w:color w:val="000000"/>
                <w:sz w:val="22"/>
                <w:szCs w:val="22"/>
                <w:lang w:eastAsia="en-US"/>
              </w:rPr>
              <w:t xml:space="preserve"> sources, e.g. online </w:t>
            </w:r>
            <w:r w:rsidR="00024BCB">
              <w:rPr>
                <w:rFonts w:ascii="Calibri" w:eastAsia="Calibri" w:hAnsi="Calibri" w:cs="Tahoma"/>
                <w:color w:val="000000"/>
                <w:sz w:val="22"/>
                <w:szCs w:val="22"/>
                <w:lang w:eastAsia="en-US"/>
              </w:rPr>
              <w:t>search</w:t>
            </w:r>
            <w:r w:rsidR="00024BCB" w:rsidRPr="005379B3">
              <w:rPr>
                <w:rFonts w:ascii="Calibri" w:eastAsia="Calibri" w:hAnsi="Calibri" w:cs="Tahoma"/>
                <w:color w:val="000000"/>
                <w:sz w:val="22"/>
                <w:szCs w:val="22"/>
                <w:lang w:eastAsia="en-US"/>
              </w:rPr>
              <w:t xml:space="preserve"> </w:t>
            </w:r>
            <w:r w:rsidR="005379B3" w:rsidRPr="005379B3">
              <w:rPr>
                <w:rFonts w:ascii="Calibri" w:eastAsia="Calibri" w:hAnsi="Calibri" w:cs="Tahoma"/>
                <w:color w:val="000000"/>
                <w:sz w:val="22"/>
                <w:szCs w:val="22"/>
                <w:lang w:eastAsia="en-US"/>
              </w:rPr>
              <w:t>tools</w:t>
            </w:r>
            <w:r>
              <w:rPr>
                <w:rFonts w:ascii="Calibri" w:eastAsia="Calibri" w:hAnsi="Calibri" w:cs="Tahoma"/>
                <w:color w:val="000000"/>
                <w:sz w:val="22"/>
                <w:szCs w:val="22"/>
                <w:lang w:eastAsia="en-US"/>
              </w:rPr>
              <w:t xml:space="preserve"> and other people,</w:t>
            </w:r>
            <w:r w:rsidR="005379B3" w:rsidRPr="005379B3">
              <w:rPr>
                <w:rFonts w:ascii="Calibri" w:eastAsia="Calibri" w:hAnsi="Calibri" w:cs="Tahoma"/>
                <w:color w:val="000000"/>
                <w:sz w:val="22"/>
                <w:szCs w:val="22"/>
                <w:lang w:eastAsia="en-US"/>
              </w:rPr>
              <w:t xml:space="preserve"> versus information that comes from first-hand sensory feedback, e.g. learning that a bi</w:t>
            </w:r>
            <w:r w:rsidR="00CE7E21">
              <w:rPr>
                <w:rFonts w:ascii="Calibri" w:eastAsia="Calibri" w:hAnsi="Calibri" w:cs="Tahoma"/>
                <w:color w:val="000000"/>
                <w:sz w:val="22"/>
                <w:szCs w:val="22"/>
                <w:lang w:eastAsia="en-US"/>
              </w:rPr>
              <w:t>gger hammer is required after f</w:t>
            </w:r>
            <w:r w:rsidR="005E0544">
              <w:rPr>
                <w:rFonts w:ascii="Calibri" w:eastAsia="Calibri" w:hAnsi="Calibri" w:cs="Tahoma"/>
                <w:color w:val="000000"/>
                <w:sz w:val="22"/>
                <w:szCs w:val="22"/>
                <w:lang w:eastAsia="en-US"/>
              </w:rPr>
              <w:t>ailing with a smaller one. Students synthesise</w:t>
            </w:r>
            <w:r w:rsidR="005379B3" w:rsidRPr="005379B3">
              <w:rPr>
                <w:rFonts w:ascii="Calibri" w:eastAsia="Calibri" w:hAnsi="Calibri" w:cs="Tahoma"/>
                <w:color w:val="000000"/>
                <w:sz w:val="22"/>
                <w:szCs w:val="22"/>
                <w:lang w:eastAsia="en-US"/>
              </w:rPr>
              <w:t xml:space="preserve"> both types of informa</w:t>
            </w:r>
            <w:r w:rsidR="005E0544">
              <w:rPr>
                <w:rFonts w:ascii="Calibri" w:eastAsia="Calibri" w:hAnsi="Calibri" w:cs="Tahoma"/>
                <w:color w:val="000000"/>
                <w:sz w:val="22"/>
                <w:szCs w:val="22"/>
                <w:lang w:eastAsia="en-US"/>
              </w:rPr>
              <w:t>tion to solve problems. T</w:t>
            </w:r>
            <w:r w:rsidR="005379B3" w:rsidRPr="005379B3">
              <w:rPr>
                <w:rFonts w:ascii="Calibri" w:eastAsia="Calibri" w:hAnsi="Calibri" w:cs="Tahoma"/>
                <w:color w:val="000000"/>
                <w:sz w:val="22"/>
                <w:szCs w:val="22"/>
                <w:lang w:eastAsia="en-US"/>
              </w:rPr>
              <w:t xml:space="preserve">he following factors </w:t>
            </w:r>
            <w:r w:rsidR="005E0544">
              <w:rPr>
                <w:rFonts w:ascii="Calibri" w:eastAsia="Calibri" w:hAnsi="Calibri" w:cs="Tahoma"/>
                <w:color w:val="000000"/>
                <w:sz w:val="22"/>
                <w:szCs w:val="22"/>
                <w:lang w:eastAsia="en-US"/>
              </w:rPr>
              <w:t xml:space="preserve">have emerged as </w:t>
            </w:r>
            <w:r w:rsidR="005379B3" w:rsidRPr="005379B3">
              <w:rPr>
                <w:rFonts w:ascii="Calibri" w:eastAsia="Calibri" w:hAnsi="Calibri" w:cs="Tahoma"/>
                <w:color w:val="000000"/>
                <w:sz w:val="22"/>
                <w:szCs w:val="22"/>
                <w:lang w:eastAsia="en-US"/>
              </w:rPr>
              <w:t>influen</w:t>
            </w:r>
            <w:r w:rsidR="005E0544">
              <w:rPr>
                <w:rFonts w:ascii="Calibri" w:eastAsia="Calibri" w:hAnsi="Calibri" w:cs="Tahoma"/>
                <w:color w:val="000000"/>
                <w:sz w:val="22"/>
                <w:szCs w:val="22"/>
                <w:lang w:eastAsia="en-US"/>
              </w:rPr>
              <w:t>cing MTA student decisions to use</w:t>
            </w:r>
            <w:r w:rsidR="005379B3" w:rsidRPr="005379B3">
              <w:rPr>
                <w:rFonts w:ascii="Calibri" w:eastAsia="Calibri" w:hAnsi="Calibri" w:cs="Tahoma"/>
                <w:color w:val="000000"/>
                <w:sz w:val="22"/>
                <w:szCs w:val="22"/>
                <w:lang w:eastAsia="en-US"/>
              </w:rPr>
              <w:t xml:space="preserve"> traditional vs hands-on information seeking methods:</w:t>
            </w:r>
          </w:p>
          <w:p w14:paraId="41CE6622" w14:textId="77777777" w:rsidR="005379B3" w:rsidRPr="005379B3" w:rsidRDefault="005379B3" w:rsidP="005379B3">
            <w:pPr>
              <w:numPr>
                <w:ilvl w:val="0"/>
                <w:numId w:val="3"/>
              </w:numPr>
              <w:spacing w:after="160" w:line="276" w:lineRule="auto"/>
              <w:contextualSpacing/>
              <w:rPr>
                <w:rFonts w:ascii="Calibri" w:eastAsia="Calibri" w:hAnsi="Calibri" w:cs="Tahoma"/>
                <w:color w:val="000000"/>
                <w:sz w:val="22"/>
                <w:szCs w:val="22"/>
                <w:lang w:eastAsia="en-US"/>
              </w:rPr>
            </w:pPr>
            <w:r w:rsidRPr="005379B3">
              <w:rPr>
                <w:rFonts w:ascii="Calibri" w:eastAsia="Calibri" w:hAnsi="Calibri" w:cs="Tahoma"/>
                <w:color w:val="000000"/>
                <w:sz w:val="22"/>
                <w:szCs w:val="22"/>
                <w:lang w:eastAsia="en-US"/>
              </w:rPr>
              <w:t>Perceived availability of expertise.</w:t>
            </w:r>
          </w:p>
          <w:p w14:paraId="2630ECB6" w14:textId="77777777" w:rsidR="005379B3" w:rsidRPr="005379B3" w:rsidRDefault="005379B3" w:rsidP="005379B3">
            <w:pPr>
              <w:numPr>
                <w:ilvl w:val="0"/>
                <w:numId w:val="3"/>
              </w:numPr>
              <w:spacing w:after="160" w:line="276" w:lineRule="auto"/>
              <w:contextualSpacing/>
              <w:rPr>
                <w:rFonts w:ascii="Calibri" w:eastAsia="Calibri" w:hAnsi="Calibri" w:cs="Tahoma"/>
                <w:color w:val="000000"/>
                <w:sz w:val="22"/>
                <w:szCs w:val="22"/>
                <w:lang w:eastAsia="en-US"/>
              </w:rPr>
            </w:pPr>
            <w:r w:rsidRPr="005379B3">
              <w:rPr>
                <w:rFonts w:ascii="Calibri" w:eastAsia="Calibri" w:hAnsi="Calibri" w:cs="Tahoma"/>
                <w:color w:val="000000"/>
                <w:sz w:val="22"/>
                <w:szCs w:val="22"/>
                <w:lang w:eastAsia="en-US"/>
              </w:rPr>
              <w:t>Perceived distance to the solution.</w:t>
            </w:r>
          </w:p>
          <w:p w14:paraId="3DF5CB19" w14:textId="77777777" w:rsidR="005379B3" w:rsidRPr="005379B3" w:rsidRDefault="005379B3" w:rsidP="005379B3">
            <w:pPr>
              <w:numPr>
                <w:ilvl w:val="0"/>
                <w:numId w:val="3"/>
              </w:numPr>
              <w:spacing w:after="160" w:line="276" w:lineRule="auto"/>
              <w:contextualSpacing/>
              <w:rPr>
                <w:rFonts w:ascii="Calibri" w:eastAsia="Calibri" w:hAnsi="Calibri" w:cs="Tahoma"/>
                <w:color w:val="000000"/>
                <w:sz w:val="22"/>
                <w:szCs w:val="22"/>
                <w:lang w:eastAsia="en-US"/>
              </w:rPr>
            </w:pPr>
            <w:r w:rsidRPr="005379B3">
              <w:rPr>
                <w:rFonts w:ascii="Calibri" w:eastAsia="Calibri" w:hAnsi="Calibri" w:cs="Tahoma"/>
                <w:color w:val="000000"/>
                <w:sz w:val="22"/>
                <w:szCs w:val="22"/>
                <w:lang w:eastAsia="en-US"/>
              </w:rPr>
              <w:t>Perceived effort level required.</w:t>
            </w:r>
          </w:p>
          <w:p w14:paraId="197D54C7" w14:textId="77777777" w:rsidR="005379B3" w:rsidRPr="005379B3" w:rsidRDefault="005379B3" w:rsidP="005379B3">
            <w:pPr>
              <w:numPr>
                <w:ilvl w:val="0"/>
                <w:numId w:val="3"/>
              </w:numPr>
              <w:spacing w:after="160" w:line="276" w:lineRule="auto"/>
              <w:contextualSpacing/>
              <w:rPr>
                <w:rFonts w:ascii="Calibri" w:eastAsia="Calibri" w:hAnsi="Calibri" w:cs="Tahoma"/>
                <w:color w:val="000000"/>
                <w:sz w:val="22"/>
                <w:szCs w:val="22"/>
                <w:lang w:eastAsia="en-US"/>
              </w:rPr>
            </w:pPr>
            <w:r w:rsidRPr="005379B3">
              <w:rPr>
                <w:rFonts w:ascii="Calibri" w:eastAsia="Calibri" w:hAnsi="Calibri" w:cs="Tahoma"/>
                <w:color w:val="000000"/>
                <w:sz w:val="22"/>
                <w:szCs w:val="22"/>
                <w:lang w:eastAsia="en-US"/>
              </w:rPr>
              <w:t>Perceived risk involved (sub-factors: physical danger, material-risk, time-risk).</w:t>
            </w:r>
          </w:p>
          <w:p w14:paraId="782A0FD6" w14:textId="77777777" w:rsidR="005379B3" w:rsidRPr="005379B3" w:rsidRDefault="005379B3" w:rsidP="005379B3">
            <w:pPr>
              <w:numPr>
                <w:ilvl w:val="0"/>
                <w:numId w:val="3"/>
              </w:numPr>
              <w:spacing w:after="160" w:line="276" w:lineRule="auto"/>
              <w:contextualSpacing/>
              <w:rPr>
                <w:rFonts w:ascii="Calibri" w:eastAsia="Calibri" w:hAnsi="Calibri" w:cs="Tahoma"/>
                <w:color w:val="000000"/>
                <w:sz w:val="22"/>
                <w:szCs w:val="22"/>
                <w:lang w:eastAsia="en-US"/>
              </w:rPr>
            </w:pPr>
            <w:r w:rsidRPr="005379B3">
              <w:rPr>
                <w:rFonts w:ascii="Calibri" w:eastAsia="Calibri" w:hAnsi="Calibri" w:cs="Tahoma"/>
                <w:color w:val="000000"/>
                <w:sz w:val="22"/>
                <w:szCs w:val="22"/>
                <w:lang w:eastAsia="en-US"/>
              </w:rPr>
              <w:t>Physical vs. digital nature of the problem.</w:t>
            </w:r>
          </w:p>
          <w:p w14:paraId="00AE71C4" w14:textId="77777777" w:rsidR="005379B3" w:rsidRPr="005379B3" w:rsidRDefault="005379B3" w:rsidP="005379B3">
            <w:pPr>
              <w:numPr>
                <w:ilvl w:val="0"/>
                <w:numId w:val="3"/>
              </w:numPr>
              <w:spacing w:after="160" w:line="276" w:lineRule="auto"/>
              <w:contextualSpacing/>
              <w:rPr>
                <w:rFonts w:ascii="Calibri" w:eastAsia="Calibri" w:hAnsi="Calibri" w:cs="Tahoma"/>
                <w:color w:val="000000"/>
                <w:sz w:val="22"/>
                <w:szCs w:val="22"/>
                <w:lang w:eastAsia="en-US"/>
              </w:rPr>
            </w:pPr>
            <w:r w:rsidRPr="005379B3">
              <w:rPr>
                <w:rFonts w:ascii="Calibri" w:eastAsia="Calibri" w:hAnsi="Calibri" w:cs="Tahoma"/>
                <w:color w:val="000000"/>
                <w:sz w:val="22"/>
                <w:szCs w:val="22"/>
                <w:lang w:eastAsia="en-US"/>
              </w:rPr>
              <w:t>Preference for hands-on vs non-hands on learning.</w:t>
            </w:r>
          </w:p>
          <w:p w14:paraId="3F4F2AC5" w14:textId="77777777" w:rsidR="005379B3" w:rsidRPr="005379B3" w:rsidRDefault="005379B3" w:rsidP="005379B3">
            <w:pPr>
              <w:numPr>
                <w:ilvl w:val="0"/>
                <w:numId w:val="3"/>
              </w:numPr>
              <w:spacing w:after="160" w:line="276" w:lineRule="auto"/>
              <w:contextualSpacing/>
              <w:rPr>
                <w:rFonts w:ascii="Calibri" w:eastAsia="Calibri" w:hAnsi="Calibri" w:cs="Tahoma"/>
                <w:color w:val="000000"/>
                <w:sz w:val="22"/>
                <w:szCs w:val="22"/>
                <w:lang w:eastAsia="en-US"/>
              </w:rPr>
            </w:pPr>
            <w:r w:rsidRPr="005379B3">
              <w:rPr>
                <w:rFonts w:ascii="Calibri" w:eastAsia="Calibri" w:hAnsi="Calibri" w:cs="Tahoma"/>
                <w:color w:val="000000"/>
                <w:sz w:val="22"/>
                <w:szCs w:val="22"/>
                <w:lang w:eastAsia="en-US"/>
              </w:rPr>
              <w:t>Prior knowledge.</w:t>
            </w:r>
          </w:p>
          <w:p w14:paraId="5B2894BE" w14:textId="77777777" w:rsidR="005379B3" w:rsidRPr="005379B3" w:rsidRDefault="005379B3" w:rsidP="005379B3">
            <w:pPr>
              <w:numPr>
                <w:ilvl w:val="0"/>
                <w:numId w:val="3"/>
              </w:numPr>
              <w:spacing w:after="160" w:line="276" w:lineRule="auto"/>
              <w:contextualSpacing/>
              <w:rPr>
                <w:rFonts w:ascii="Calibri" w:eastAsia="Calibri" w:hAnsi="Calibri" w:cs="Tahoma"/>
                <w:color w:val="000000"/>
                <w:sz w:val="22"/>
                <w:szCs w:val="22"/>
                <w:lang w:eastAsia="en-US"/>
              </w:rPr>
            </w:pPr>
            <w:r w:rsidRPr="005379B3">
              <w:rPr>
                <w:rFonts w:ascii="Calibri" w:eastAsia="Calibri" w:hAnsi="Calibri" w:cs="Tahoma"/>
                <w:color w:val="000000"/>
                <w:sz w:val="22"/>
                <w:szCs w:val="22"/>
                <w:lang w:eastAsia="en-US"/>
              </w:rPr>
              <w:t>Propensity to develop proficiency.</w:t>
            </w:r>
          </w:p>
          <w:p w14:paraId="0C6C5857" w14:textId="77777777" w:rsidR="005379B3" w:rsidRDefault="005379B3" w:rsidP="005379B3">
            <w:pPr>
              <w:keepNext/>
              <w:keepLines/>
              <w:spacing w:before="40" w:line="276" w:lineRule="auto"/>
              <w:outlineLvl w:val="1"/>
              <w:rPr>
                <w:rFonts w:ascii="Calibri" w:hAnsi="Calibri"/>
                <w:color w:val="2E74B5"/>
                <w:sz w:val="26"/>
                <w:szCs w:val="26"/>
                <w:lang w:eastAsia="en-US"/>
              </w:rPr>
            </w:pPr>
          </w:p>
          <w:p w14:paraId="11B8F439" w14:textId="3B8B3376" w:rsidR="005379B3" w:rsidRPr="005379B3" w:rsidRDefault="00462363" w:rsidP="005379B3">
            <w:pPr>
              <w:keepNext/>
              <w:keepLines/>
              <w:spacing w:before="40" w:line="276" w:lineRule="auto"/>
              <w:outlineLvl w:val="1"/>
              <w:rPr>
                <w:rFonts w:ascii="Calibri" w:hAnsi="Calibri"/>
                <w:color w:val="2E74B5"/>
                <w:sz w:val="26"/>
                <w:szCs w:val="26"/>
                <w:lang w:eastAsia="en-US"/>
              </w:rPr>
            </w:pPr>
            <w:r>
              <w:rPr>
                <w:rFonts w:ascii="Calibri" w:hAnsi="Calibri"/>
                <w:color w:val="2E74B5"/>
                <w:sz w:val="26"/>
                <w:szCs w:val="26"/>
                <w:lang w:eastAsia="en-US"/>
              </w:rPr>
              <w:t>Conclusions and further work</w:t>
            </w:r>
          </w:p>
          <w:p w14:paraId="752FA13B" w14:textId="5A83406B" w:rsidR="00BB7CF6" w:rsidRDefault="00BB7CF6" w:rsidP="00BB7CF6">
            <w:pPr>
              <w:spacing w:after="160" w:line="276" w:lineRule="auto"/>
              <w:rPr>
                <w:rFonts w:ascii="Calibri" w:eastAsia="Calibri" w:hAnsi="Calibri" w:cs="Arial"/>
                <w:color w:val="000000"/>
                <w:sz w:val="22"/>
                <w:szCs w:val="22"/>
                <w:lang w:val="en" w:eastAsia="en-US"/>
              </w:rPr>
            </w:pPr>
            <w:r w:rsidRPr="005379B3">
              <w:rPr>
                <w:rFonts w:ascii="Calibri" w:eastAsia="Calibri" w:hAnsi="Calibri" w:cs="Tahoma"/>
                <w:color w:val="000000"/>
                <w:sz w:val="22"/>
                <w:szCs w:val="22"/>
                <w:lang w:eastAsia="en-US"/>
              </w:rPr>
              <w:t xml:space="preserve">Although educators are </w:t>
            </w:r>
            <w:r>
              <w:rPr>
                <w:rFonts w:ascii="Calibri" w:eastAsia="Calibri" w:hAnsi="Calibri" w:cs="Tahoma"/>
                <w:color w:val="000000"/>
                <w:sz w:val="22"/>
                <w:szCs w:val="22"/>
                <w:lang w:eastAsia="en-US"/>
              </w:rPr>
              <w:t xml:space="preserve">increasingly </w:t>
            </w:r>
            <w:r w:rsidRPr="005379B3">
              <w:rPr>
                <w:rFonts w:ascii="Calibri" w:eastAsia="Calibri" w:hAnsi="Calibri" w:cs="Tahoma"/>
                <w:color w:val="000000"/>
                <w:sz w:val="22"/>
                <w:szCs w:val="22"/>
                <w:lang w:eastAsia="en-US"/>
              </w:rPr>
              <w:t>embracing STEM content and constructionist learning curricula, t</w:t>
            </w:r>
            <w:r w:rsidRPr="005379B3">
              <w:rPr>
                <w:rFonts w:ascii="Calibri" w:eastAsia="Calibri" w:hAnsi="Calibri" w:cs="Arial"/>
                <w:color w:val="000000"/>
                <w:sz w:val="22"/>
                <w:szCs w:val="22"/>
                <w:lang w:val="en" w:eastAsia="en-US"/>
              </w:rPr>
              <w:t xml:space="preserve">he relationship between information behaviour and effective problem solving in this type of information environment has not yet received much attention. </w:t>
            </w:r>
            <w:r>
              <w:rPr>
                <w:rFonts w:ascii="Calibri" w:eastAsia="Calibri" w:hAnsi="Calibri" w:cs="Arial"/>
                <w:color w:val="000000"/>
                <w:sz w:val="22"/>
                <w:szCs w:val="22"/>
                <w:lang w:val="en" w:eastAsia="en-US"/>
              </w:rPr>
              <w:t xml:space="preserve">This research addresses this gap and has identified factors influencing students’ information choices. </w:t>
            </w:r>
            <w:r w:rsidR="00CA5734">
              <w:rPr>
                <w:rFonts w:ascii="Calibri" w:eastAsia="Calibri" w:hAnsi="Calibri" w:cs="Arial"/>
                <w:color w:val="000000"/>
                <w:sz w:val="22"/>
                <w:szCs w:val="22"/>
                <w:lang w:val="en" w:eastAsia="en-US"/>
              </w:rPr>
              <w:t>It is envisaged that f</w:t>
            </w:r>
            <w:r>
              <w:rPr>
                <w:rFonts w:ascii="Calibri" w:eastAsia="Calibri" w:hAnsi="Calibri" w:cs="Arial"/>
                <w:color w:val="000000"/>
                <w:sz w:val="22"/>
                <w:szCs w:val="22"/>
                <w:lang w:val="en" w:eastAsia="en-US"/>
              </w:rPr>
              <w:t xml:space="preserve">urther work with students at MTA and in UK-based case studies will inform the development of a model of </w:t>
            </w:r>
            <w:r w:rsidRPr="005379B3">
              <w:rPr>
                <w:rFonts w:ascii="Calibri" w:eastAsia="Calibri" w:hAnsi="Calibri" w:cs="Tahoma"/>
                <w:color w:val="000000"/>
                <w:sz w:val="22"/>
                <w:szCs w:val="22"/>
                <w:lang w:eastAsia="en-US"/>
              </w:rPr>
              <w:t>information behaviour in a creative STEM context</w:t>
            </w:r>
            <w:r>
              <w:rPr>
                <w:rFonts w:ascii="Calibri" w:eastAsia="Calibri" w:hAnsi="Calibri" w:cs="Tahoma"/>
                <w:color w:val="000000"/>
                <w:sz w:val="22"/>
                <w:szCs w:val="22"/>
                <w:lang w:eastAsia="en-US"/>
              </w:rPr>
              <w:t xml:space="preserve"> that will be used to develop a tool to support information decision making during the making process. </w:t>
            </w:r>
          </w:p>
          <w:p w14:paraId="604F168C" w14:textId="77777777" w:rsidR="005379B3" w:rsidRPr="005379B3" w:rsidRDefault="005379B3" w:rsidP="005379B3">
            <w:pPr>
              <w:keepNext/>
              <w:keepLines/>
              <w:spacing w:before="40" w:line="276" w:lineRule="auto"/>
              <w:outlineLvl w:val="1"/>
              <w:rPr>
                <w:rFonts w:ascii="Calibri" w:hAnsi="Calibri"/>
                <w:color w:val="2E74B5"/>
                <w:sz w:val="26"/>
                <w:szCs w:val="26"/>
                <w:lang w:eastAsia="en-US"/>
              </w:rPr>
            </w:pPr>
            <w:r w:rsidRPr="005379B3">
              <w:rPr>
                <w:rFonts w:ascii="Calibri" w:hAnsi="Calibri"/>
                <w:color w:val="2E74B5"/>
                <w:sz w:val="26"/>
                <w:szCs w:val="26"/>
                <w:lang w:eastAsia="en-US"/>
              </w:rPr>
              <w:t>References</w:t>
            </w:r>
          </w:p>
          <w:p w14:paraId="5520EC19" w14:textId="77777777" w:rsidR="005379B3" w:rsidRPr="005379B3" w:rsidRDefault="005379B3" w:rsidP="005379B3">
            <w:pPr>
              <w:widowControl w:val="0"/>
              <w:autoSpaceDE w:val="0"/>
              <w:autoSpaceDN w:val="0"/>
              <w:adjustRightInd w:val="0"/>
              <w:spacing w:after="160" w:line="276" w:lineRule="auto"/>
              <w:ind w:left="480" w:hanging="480"/>
              <w:rPr>
                <w:rFonts w:ascii="Calibri" w:eastAsia="Calibri" w:hAnsi="Calibri"/>
                <w:noProof/>
                <w:sz w:val="22"/>
                <w:lang w:eastAsia="en-US"/>
              </w:rPr>
            </w:pPr>
            <w:r w:rsidRPr="005379B3">
              <w:rPr>
                <w:rFonts w:ascii="Calibri" w:eastAsia="Calibri" w:hAnsi="Calibri" w:cs="Arial"/>
                <w:color w:val="000000"/>
                <w:sz w:val="22"/>
                <w:szCs w:val="22"/>
                <w:lang w:eastAsia="en-US"/>
              </w:rPr>
              <w:fldChar w:fldCharType="begin" w:fldLock="1"/>
            </w:r>
            <w:r w:rsidRPr="005379B3">
              <w:rPr>
                <w:rFonts w:ascii="Calibri" w:eastAsia="Calibri" w:hAnsi="Calibri" w:cs="Arial"/>
                <w:color w:val="000000"/>
                <w:sz w:val="22"/>
                <w:szCs w:val="22"/>
                <w:lang w:eastAsia="en-US"/>
              </w:rPr>
              <w:instrText xml:space="preserve">ADDIN Mendeley Bibliography CSL_BIBLIOGRAPHY </w:instrText>
            </w:r>
            <w:r w:rsidRPr="005379B3">
              <w:rPr>
                <w:rFonts w:ascii="Calibri" w:eastAsia="Calibri" w:hAnsi="Calibri" w:cs="Arial"/>
                <w:color w:val="000000"/>
                <w:sz w:val="22"/>
                <w:szCs w:val="22"/>
                <w:lang w:eastAsia="en-US"/>
              </w:rPr>
              <w:fldChar w:fldCharType="separate"/>
            </w:r>
            <w:r w:rsidRPr="005379B3">
              <w:rPr>
                <w:rFonts w:ascii="Calibri" w:eastAsia="Calibri" w:hAnsi="Calibri"/>
                <w:noProof/>
                <w:sz w:val="22"/>
                <w:lang w:eastAsia="en-US"/>
              </w:rPr>
              <w:t xml:space="preserve">Bevan, B. </w:t>
            </w:r>
            <w:r w:rsidRPr="005379B3">
              <w:rPr>
                <w:rFonts w:ascii="Calibri" w:eastAsia="Calibri" w:hAnsi="Calibri"/>
                <w:i/>
                <w:noProof/>
                <w:sz w:val="22"/>
                <w:lang w:eastAsia="en-US"/>
              </w:rPr>
              <w:t>et al</w:t>
            </w:r>
            <w:r w:rsidRPr="005379B3">
              <w:rPr>
                <w:rFonts w:ascii="Calibri" w:eastAsia="Calibri" w:hAnsi="Calibri"/>
                <w:noProof/>
                <w:sz w:val="22"/>
                <w:lang w:eastAsia="en-US"/>
              </w:rPr>
              <w:t xml:space="preserve">., 2015. Learning Through STEM-Rich Tinkering: Findings From a Jointly Negotiated Research Project Taken Up in Practice. </w:t>
            </w:r>
            <w:r w:rsidRPr="005379B3">
              <w:rPr>
                <w:rFonts w:ascii="Calibri" w:eastAsia="Calibri" w:hAnsi="Calibri"/>
                <w:i/>
                <w:iCs/>
                <w:noProof/>
                <w:sz w:val="22"/>
                <w:lang w:eastAsia="en-US"/>
              </w:rPr>
              <w:t>Science Education</w:t>
            </w:r>
            <w:r w:rsidRPr="005379B3">
              <w:rPr>
                <w:rFonts w:ascii="Calibri" w:eastAsia="Calibri" w:hAnsi="Calibri"/>
                <w:noProof/>
                <w:sz w:val="22"/>
                <w:lang w:eastAsia="en-US"/>
              </w:rPr>
              <w:t xml:space="preserve">, 99(1), pp.98–120. Available at: </w:t>
            </w:r>
            <w:r w:rsidRPr="005379B3">
              <w:rPr>
                <w:rFonts w:ascii="Calibri" w:eastAsia="Calibri" w:hAnsi="Calibri"/>
                <w:noProof/>
                <w:sz w:val="22"/>
                <w:lang w:eastAsia="en-US"/>
              </w:rPr>
              <w:lastRenderedPageBreak/>
              <w:t>http://doi.wiley.com/10.1002/sce.21151.</w:t>
            </w:r>
          </w:p>
          <w:p w14:paraId="6B0E62DB" w14:textId="77777777" w:rsidR="005379B3" w:rsidRPr="005379B3" w:rsidRDefault="005379B3" w:rsidP="005379B3">
            <w:pPr>
              <w:widowControl w:val="0"/>
              <w:autoSpaceDE w:val="0"/>
              <w:autoSpaceDN w:val="0"/>
              <w:adjustRightInd w:val="0"/>
              <w:spacing w:after="160" w:line="276" w:lineRule="auto"/>
              <w:ind w:left="480" w:hanging="480"/>
              <w:rPr>
                <w:rFonts w:ascii="Calibri" w:eastAsia="Calibri" w:hAnsi="Calibri"/>
                <w:noProof/>
                <w:sz w:val="22"/>
                <w:lang w:eastAsia="en-US"/>
              </w:rPr>
            </w:pPr>
            <w:r w:rsidRPr="005379B3">
              <w:rPr>
                <w:rFonts w:ascii="Calibri" w:eastAsia="Calibri" w:hAnsi="Calibri"/>
                <w:noProof/>
                <w:sz w:val="22"/>
                <w:lang w:eastAsia="en-US"/>
              </w:rPr>
              <w:t xml:space="preserve">Bowler, L. &amp; Champagne, R., 2016. Mindful makers: Question prompts to help guide young peoples’ critical technical practices in maker spaces in libraries, museums, and community-based youth organizations. </w:t>
            </w:r>
            <w:r w:rsidRPr="005379B3">
              <w:rPr>
                <w:rFonts w:ascii="Calibri" w:eastAsia="Calibri" w:hAnsi="Calibri"/>
                <w:i/>
                <w:iCs/>
                <w:noProof/>
                <w:sz w:val="22"/>
                <w:lang w:eastAsia="en-US"/>
              </w:rPr>
              <w:t>Library &amp; Information Science Research</w:t>
            </w:r>
            <w:r w:rsidRPr="005379B3">
              <w:rPr>
                <w:rFonts w:ascii="Calibri" w:eastAsia="Calibri" w:hAnsi="Calibri"/>
                <w:noProof/>
                <w:sz w:val="22"/>
                <w:lang w:eastAsia="en-US"/>
              </w:rPr>
              <w:t>, 38(2), pp.117–124. Available at: http://dx.doi.org/10.1016/j.lisr.2016.04.006.</w:t>
            </w:r>
          </w:p>
          <w:p w14:paraId="21F35B5B" w14:textId="77777777" w:rsidR="005379B3" w:rsidRPr="005379B3" w:rsidRDefault="005379B3" w:rsidP="005379B3">
            <w:pPr>
              <w:widowControl w:val="0"/>
              <w:autoSpaceDE w:val="0"/>
              <w:autoSpaceDN w:val="0"/>
              <w:adjustRightInd w:val="0"/>
              <w:spacing w:after="160" w:line="276" w:lineRule="auto"/>
              <w:ind w:left="480" w:hanging="480"/>
              <w:rPr>
                <w:rFonts w:ascii="Calibri" w:eastAsia="Calibri" w:hAnsi="Calibri"/>
                <w:noProof/>
                <w:sz w:val="22"/>
                <w:lang w:eastAsia="en-US"/>
              </w:rPr>
            </w:pPr>
            <w:r w:rsidRPr="005379B3">
              <w:rPr>
                <w:rFonts w:ascii="Calibri" w:eastAsia="Calibri" w:hAnsi="Calibri"/>
                <w:noProof/>
                <w:sz w:val="22"/>
                <w:lang w:eastAsia="en-US"/>
              </w:rPr>
              <w:t xml:space="preserve">Chu, S.L. </w:t>
            </w:r>
            <w:r w:rsidRPr="005379B3">
              <w:rPr>
                <w:rFonts w:ascii="Calibri" w:eastAsia="Calibri" w:hAnsi="Calibri"/>
                <w:i/>
                <w:noProof/>
                <w:sz w:val="22"/>
                <w:lang w:eastAsia="en-US"/>
              </w:rPr>
              <w:t>et al</w:t>
            </w:r>
            <w:r w:rsidRPr="005379B3">
              <w:rPr>
                <w:rFonts w:ascii="Calibri" w:eastAsia="Calibri" w:hAnsi="Calibri"/>
                <w:noProof/>
                <w:sz w:val="22"/>
                <w:lang w:eastAsia="en-US"/>
              </w:rPr>
              <w:t xml:space="preserve">., 2015. Making the Maker: A Means-to-an-Ends approach to nurturing the Maker mindset in elementary-aged children. </w:t>
            </w:r>
            <w:r w:rsidRPr="005379B3">
              <w:rPr>
                <w:rFonts w:ascii="Calibri" w:eastAsia="Calibri" w:hAnsi="Calibri"/>
                <w:i/>
                <w:iCs/>
                <w:noProof/>
                <w:sz w:val="22"/>
                <w:lang w:eastAsia="en-US"/>
              </w:rPr>
              <w:t>International Journal of Child-Computer Interaction</w:t>
            </w:r>
            <w:r w:rsidRPr="005379B3">
              <w:rPr>
                <w:rFonts w:ascii="Calibri" w:eastAsia="Calibri" w:hAnsi="Calibri"/>
                <w:noProof/>
                <w:sz w:val="22"/>
                <w:lang w:eastAsia="en-US"/>
              </w:rPr>
              <w:t>, 5, pp.11–19. Available at: http://dx.doi.org/10.1016/j.ijcci.2015.08.002.</w:t>
            </w:r>
          </w:p>
          <w:p w14:paraId="100465D6" w14:textId="77777777" w:rsidR="005379B3" w:rsidRPr="005379B3" w:rsidRDefault="005379B3" w:rsidP="005379B3">
            <w:pPr>
              <w:widowControl w:val="0"/>
              <w:autoSpaceDE w:val="0"/>
              <w:autoSpaceDN w:val="0"/>
              <w:adjustRightInd w:val="0"/>
              <w:spacing w:after="160" w:line="276" w:lineRule="auto"/>
              <w:ind w:left="480" w:hanging="480"/>
              <w:rPr>
                <w:rFonts w:ascii="Calibri" w:eastAsia="Calibri" w:hAnsi="Calibri"/>
                <w:noProof/>
                <w:sz w:val="22"/>
                <w:lang w:eastAsia="en-US"/>
              </w:rPr>
            </w:pPr>
            <w:r w:rsidRPr="005379B3">
              <w:rPr>
                <w:rFonts w:ascii="Calibri" w:eastAsia="Calibri" w:hAnsi="Calibri"/>
                <w:noProof/>
                <w:sz w:val="22"/>
                <w:lang w:eastAsia="en-US"/>
              </w:rPr>
              <w:t>Davee, S., Regalla, L. &amp; Chang, S., 2015. Makerspaces: Highlights of select literature. , (May), p.13. Available at: http://makered.org/wp-content/uploads/2015/08/Makerspace-Lit-Review-5B.pdf.</w:t>
            </w:r>
          </w:p>
          <w:p w14:paraId="13C389ED" w14:textId="77777777" w:rsidR="005379B3" w:rsidRPr="005379B3" w:rsidRDefault="005379B3" w:rsidP="005379B3">
            <w:pPr>
              <w:widowControl w:val="0"/>
              <w:autoSpaceDE w:val="0"/>
              <w:autoSpaceDN w:val="0"/>
              <w:adjustRightInd w:val="0"/>
              <w:spacing w:after="160" w:line="259" w:lineRule="auto"/>
              <w:ind w:left="480" w:hanging="480"/>
              <w:rPr>
                <w:rFonts w:ascii="Calibri" w:eastAsia="Calibri" w:hAnsi="Calibri"/>
                <w:noProof/>
                <w:sz w:val="22"/>
                <w:szCs w:val="22"/>
                <w:lang w:eastAsia="en-US"/>
              </w:rPr>
            </w:pPr>
            <w:r w:rsidRPr="005379B3">
              <w:rPr>
                <w:rFonts w:ascii="Calibri" w:eastAsia="Calibri" w:hAnsi="Calibri"/>
                <w:noProof/>
                <w:sz w:val="22"/>
                <w:szCs w:val="22"/>
                <w:lang w:eastAsia="en-US"/>
              </w:rPr>
              <w:t>Dewey, J., 1944. Democracy and education. New York, NY, US: The Free Press.</w:t>
            </w:r>
          </w:p>
          <w:p w14:paraId="4F8F1201" w14:textId="77777777" w:rsidR="005379B3" w:rsidRPr="005379B3" w:rsidRDefault="005379B3" w:rsidP="005379B3">
            <w:pPr>
              <w:widowControl w:val="0"/>
              <w:autoSpaceDE w:val="0"/>
              <w:autoSpaceDN w:val="0"/>
              <w:adjustRightInd w:val="0"/>
              <w:spacing w:after="160" w:line="276" w:lineRule="auto"/>
              <w:ind w:left="480" w:hanging="480"/>
              <w:rPr>
                <w:rFonts w:ascii="Calibri" w:eastAsia="Calibri" w:hAnsi="Calibri"/>
                <w:noProof/>
                <w:sz w:val="22"/>
                <w:lang w:eastAsia="en-US"/>
              </w:rPr>
            </w:pPr>
            <w:r w:rsidRPr="005379B3">
              <w:rPr>
                <w:rFonts w:ascii="Calibri" w:eastAsia="Calibri" w:hAnsi="Calibri"/>
                <w:noProof/>
                <w:sz w:val="22"/>
                <w:lang w:eastAsia="en-US"/>
              </w:rPr>
              <w:t xml:space="preserve">Dondlinger, M.J., McLeod, J. &amp; Vasinda, S., 2016. Essential Conditions for Technology-Supported, Student-Centered Learning: An Analysis of Student Experiences With Math Out Loud Using the ISTE Standards for Students. </w:t>
            </w:r>
            <w:r w:rsidRPr="005379B3">
              <w:rPr>
                <w:rFonts w:ascii="Calibri" w:eastAsia="Calibri" w:hAnsi="Calibri"/>
                <w:i/>
                <w:iCs/>
                <w:noProof/>
                <w:sz w:val="22"/>
                <w:lang w:eastAsia="en-US"/>
              </w:rPr>
              <w:t>Journal of Research on Technology in Education</w:t>
            </w:r>
            <w:r w:rsidRPr="005379B3">
              <w:rPr>
                <w:rFonts w:ascii="Calibri" w:eastAsia="Calibri" w:hAnsi="Calibri"/>
                <w:noProof/>
                <w:sz w:val="22"/>
                <w:lang w:eastAsia="en-US"/>
              </w:rPr>
              <w:t>, 48(4), pp.258–273. Available at: https://www.tandfonline.com/doi/full/10.1080/15391523.2016.1212633.</w:t>
            </w:r>
          </w:p>
          <w:p w14:paraId="3EB28016" w14:textId="77777777" w:rsidR="005379B3" w:rsidRPr="005379B3" w:rsidRDefault="005379B3" w:rsidP="005379B3">
            <w:pPr>
              <w:widowControl w:val="0"/>
              <w:autoSpaceDE w:val="0"/>
              <w:autoSpaceDN w:val="0"/>
              <w:adjustRightInd w:val="0"/>
              <w:spacing w:after="160" w:line="259" w:lineRule="auto"/>
              <w:ind w:left="480" w:hanging="480"/>
              <w:rPr>
                <w:rFonts w:ascii="Calibri" w:eastAsia="Calibri" w:hAnsi="Calibri"/>
                <w:noProof/>
                <w:sz w:val="22"/>
                <w:szCs w:val="22"/>
                <w:lang w:eastAsia="en-US"/>
              </w:rPr>
            </w:pPr>
            <w:r w:rsidRPr="005379B3">
              <w:rPr>
                <w:rFonts w:ascii="Calibri" w:eastAsia="Calibri" w:hAnsi="Calibri"/>
                <w:noProof/>
                <w:sz w:val="22"/>
                <w:szCs w:val="22"/>
                <w:lang w:eastAsia="en-US"/>
              </w:rPr>
              <w:t xml:space="preserve">Froebel, F., 1887. The education of man. Hailmann, W.N. (Trans). D Appleton &amp; Company. New York, NY. </w:t>
            </w:r>
          </w:p>
          <w:p w14:paraId="60E8B005" w14:textId="77777777" w:rsidR="005379B3" w:rsidRPr="005379B3" w:rsidRDefault="005379B3" w:rsidP="005379B3">
            <w:pPr>
              <w:widowControl w:val="0"/>
              <w:autoSpaceDE w:val="0"/>
              <w:autoSpaceDN w:val="0"/>
              <w:adjustRightInd w:val="0"/>
              <w:spacing w:after="160" w:line="259" w:lineRule="auto"/>
              <w:ind w:left="480" w:hanging="480"/>
              <w:rPr>
                <w:rFonts w:ascii="Calibri" w:eastAsia="Calibri" w:hAnsi="Calibri"/>
                <w:noProof/>
                <w:sz w:val="22"/>
                <w:szCs w:val="22"/>
                <w:lang w:eastAsia="en-US"/>
              </w:rPr>
            </w:pPr>
            <w:r w:rsidRPr="005379B3">
              <w:rPr>
                <w:rFonts w:ascii="Calibri" w:eastAsia="Calibri" w:hAnsi="Calibri"/>
                <w:noProof/>
                <w:sz w:val="22"/>
                <w:szCs w:val="22"/>
                <w:lang w:eastAsia="en-US"/>
              </w:rPr>
              <w:t xml:space="preserve">Gutwill, J.P., Hido, N. &amp; Sindorf, L., 2015. Research to Practice: Observing Learning in Tinkering Activities. </w:t>
            </w:r>
            <w:r w:rsidRPr="005379B3">
              <w:rPr>
                <w:rFonts w:ascii="Calibri" w:eastAsia="Calibri" w:hAnsi="Calibri"/>
                <w:i/>
                <w:iCs/>
                <w:noProof/>
                <w:sz w:val="22"/>
                <w:szCs w:val="22"/>
                <w:lang w:eastAsia="en-US"/>
              </w:rPr>
              <w:t>Curator: The Museum Journal</w:t>
            </w:r>
            <w:r w:rsidRPr="005379B3">
              <w:rPr>
                <w:rFonts w:ascii="Calibri" w:eastAsia="Calibri" w:hAnsi="Calibri"/>
                <w:noProof/>
                <w:sz w:val="22"/>
                <w:szCs w:val="22"/>
                <w:lang w:eastAsia="en-US"/>
              </w:rPr>
              <w:t>, 58(2), pp.151–168. Available at: http://doi.wiley.com/10.1111/cura.12105.</w:t>
            </w:r>
          </w:p>
          <w:p w14:paraId="59B59C76" w14:textId="77777777" w:rsidR="005379B3" w:rsidRPr="005379B3" w:rsidRDefault="005379B3" w:rsidP="005379B3">
            <w:pPr>
              <w:widowControl w:val="0"/>
              <w:autoSpaceDE w:val="0"/>
              <w:autoSpaceDN w:val="0"/>
              <w:adjustRightInd w:val="0"/>
              <w:spacing w:after="160" w:line="276" w:lineRule="auto"/>
              <w:ind w:left="480" w:hanging="480"/>
              <w:rPr>
                <w:rFonts w:ascii="Calibri" w:eastAsia="Calibri" w:hAnsi="Calibri"/>
                <w:noProof/>
                <w:sz w:val="22"/>
                <w:lang w:eastAsia="en-US"/>
              </w:rPr>
            </w:pPr>
            <w:r w:rsidRPr="005379B3">
              <w:rPr>
                <w:rFonts w:ascii="Calibri" w:eastAsia="Calibri" w:hAnsi="Calibri"/>
                <w:noProof/>
                <w:sz w:val="22"/>
                <w:lang w:eastAsia="en-US"/>
              </w:rPr>
              <w:t xml:space="preserve">Giannakos, M. </w:t>
            </w:r>
            <w:r w:rsidRPr="005379B3">
              <w:rPr>
                <w:rFonts w:ascii="Calibri" w:eastAsia="Calibri" w:hAnsi="Calibri"/>
                <w:i/>
                <w:noProof/>
                <w:sz w:val="22"/>
                <w:lang w:eastAsia="en-US"/>
              </w:rPr>
              <w:t>et al</w:t>
            </w:r>
            <w:r w:rsidRPr="005379B3">
              <w:rPr>
                <w:rFonts w:ascii="Calibri" w:eastAsia="Calibri" w:hAnsi="Calibri"/>
                <w:noProof/>
                <w:sz w:val="22"/>
                <w:lang w:eastAsia="en-US"/>
              </w:rPr>
              <w:t xml:space="preserve">., 2015. Making as a Pathway to Foster Joyful Engagement and Creativity in Learning. In </w:t>
            </w:r>
            <w:r w:rsidRPr="005379B3">
              <w:rPr>
                <w:rFonts w:ascii="Calibri" w:eastAsia="Calibri" w:hAnsi="Calibri"/>
                <w:i/>
                <w:iCs/>
                <w:noProof/>
                <w:sz w:val="22"/>
                <w:lang w:eastAsia="en-US"/>
              </w:rPr>
              <w:t>IFIP International Conference on Entertainment Computing 2015</w:t>
            </w:r>
            <w:r w:rsidRPr="005379B3">
              <w:rPr>
                <w:rFonts w:ascii="Calibri" w:eastAsia="Calibri" w:hAnsi="Calibri"/>
                <w:noProof/>
                <w:sz w:val="22"/>
                <w:lang w:eastAsia="en-US"/>
              </w:rPr>
              <w:t>. pp. 566–570. Available at: https://www.researchgate.net/publication/281522868_Making_as_a_Pathway_to_Foster_Joyful_Engagement_and_Creativity_in_Learning.</w:t>
            </w:r>
          </w:p>
          <w:p w14:paraId="2740433E" w14:textId="77777777" w:rsidR="005379B3" w:rsidRPr="005379B3" w:rsidRDefault="005379B3" w:rsidP="005379B3">
            <w:pPr>
              <w:widowControl w:val="0"/>
              <w:autoSpaceDE w:val="0"/>
              <w:autoSpaceDN w:val="0"/>
              <w:adjustRightInd w:val="0"/>
              <w:spacing w:after="160" w:line="276" w:lineRule="auto"/>
              <w:ind w:left="480" w:hanging="480"/>
              <w:rPr>
                <w:rFonts w:ascii="Calibri" w:eastAsia="Calibri" w:hAnsi="Calibri"/>
                <w:noProof/>
                <w:sz w:val="22"/>
                <w:lang w:eastAsia="en-US"/>
              </w:rPr>
            </w:pPr>
            <w:r w:rsidRPr="005379B3">
              <w:rPr>
                <w:rFonts w:ascii="Calibri" w:eastAsia="Calibri" w:hAnsi="Calibri"/>
                <w:noProof/>
                <w:sz w:val="22"/>
                <w:lang w:eastAsia="en-US"/>
              </w:rPr>
              <w:t xml:space="preserve">Ito, M. </w:t>
            </w:r>
            <w:r w:rsidRPr="005379B3">
              <w:rPr>
                <w:rFonts w:ascii="Calibri" w:eastAsia="Calibri" w:hAnsi="Calibri"/>
                <w:i/>
                <w:noProof/>
                <w:sz w:val="22"/>
                <w:lang w:eastAsia="en-US"/>
              </w:rPr>
              <w:t>et al</w:t>
            </w:r>
            <w:r w:rsidRPr="005379B3">
              <w:rPr>
                <w:rFonts w:ascii="Calibri" w:eastAsia="Calibri" w:hAnsi="Calibri"/>
                <w:noProof/>
                <w:sz w:val="22"/>
                <w:lang w:eastAsia="en-US"/>
              </w:rPr>
              <w:t xml:space="preserve">., 2013. </w:t>
            </w:r>
            <w:r w:rsidRPr="005379B3">
              <w:rPr>
                <w:rFonts w:ascii="Calibri" w:eastAsia="Calibri" w:hAnsi="Calibri"/>
                <w:i/>
                <w:iCs/>
                <w:noProof/>
                <w:sz w:val="22"/>
                <w:lang w:eastAsia="en-US"/>
              </w:rPr>
              <w:t>Connected Learning An Agenda for Research and Design</w:t>
            </w:r>
            <w:r w:rsidRPr="005379B3">
              <w:rPr>
                <w:rFonts w:ascii="Calibri" w:eastAsia="Calibri" w:hAnsi="Calibri"/>
                <w:noProof/>
                <w:sz w:val="22"/>
                <w:lang w:eastAsia="en-US"/>
              </w:rPr>
              <w:t>, Irvine, CA: Digital Media and Learning Research Hub. Available at: http://eprints.lse.ac.uk/48114/.</w:t>
            </w:r>
          </w:p>
          <w:p w14:paraId="67607C56" w14:textId="77777777" w:rsidR="005379B3" w:rsidRPr="005379B3" w:rsidRDefault="005379B3" w:rsidP="005379B3">
            <w:pPr>
              <w:widowControl w:val="0"/>
              <w:autoSpaceDE w:val="0"/>
              <w:autoSpaceDN w:val="0"/>
              <w:adjustRightInd w:val="0"/>
              <w:spacing w:after="160" w:line="276" w:lineRule="auto"/>
              <w:ind w:left="480" w:hanging="480"/>
              <w:rPr>
                <w:rFonts w:ascii="Calibri" w:eastAsia="Calibri" w:hAnsi="Calibri"/>
                <w:noProof/>
                <w:sz w:val="22"/>
                <w:lang w:eastAsia="en-US"/>
              </w:rPr>
            </w:pPr>
            <w:r w:rsidRPr="005379B3">
              <w:rPr>
                <w:rFonts w:ascii="Calibri" w:eastAsia="Calibri" w:hAnsi="Calibri"/>
                <w:noProof/>
                <w:sz w:val="22"/>
                <w:lang w:eastAsia="en-US"/>
              </w:rPr>
              <w:t xml:space="preserve">Johri, A. &amp; Olds, B.M., 2014. </w:t>
            </w:r>
            <w:r w:rsidRPr="005379B3">
              <w:rPr>
                <w:rFonts w:ascii="Calibri" w:eastAsia="Calibri" w:hAnsi="Calibri"/>
                <w:i/>
                <w:iCs/>
                <w:noProof/>
                <w:sz w:val="22"/>
                <w:lang w:eastAsia="en-US"/>
              </w:rPr>
              <w:t>Cambridge handbook of engineering education research</w:t>
            </w:r>
            <w:r w:rsidRPr="005379B3">
              <w:rPr>
                <w:rFonts w:ascii="Calibri" w:eastAsia="Calibri" w:hAnsi="Calibri"/>
                <w:noProof/>
                <w:sz w:val="22"/>
                <w:lang w:eastAsia="en-US"/>
              </w:rPr>
              <w:t>, New York, NY: New York, NY : Cambridge University Press.</w:t>
            </w:r>
          </w:p>
          <w:p w14:paraId="7B8ECEC6" w14:textId="77777777" w:rsidR="005379B3" w:rsidRPr="005379B3" w:rsidRDefault="005379B3" w:rsidP="005379B3">
            <w:pPr>
              <w:widowControl w:val="0"/>
              <w:autoSpaceDE w:val="0"/>
              <w:autoSpaceDN w:val="0"/>
              <w:adjustRightInd w:val="0"/>
              <w:spacing w:after="160" w:line="276" w:lineRule="auto"/>
              <w:ind w:left="480" w:hanging="480"/>
              <w:rPr>
                <w:rFonts w:ascii="Calibri" w:eastAsia="Calibri" w:hAnsi="Calibri"/>
                <w:noProof/>
                <w:sz w:val="22"/>
                <w:lang w:eastAsia="en-US"/>
              </w:rPr>
            </w:pPr>
            <w:r w:rsidRPr="005379B3">
              <w:rPr>
                <w:rFonts w:ascii="Calibri" w:eastAsia="Calibri" w:hAnsi="Calibri"/>
                <w:noProof/>
                <w:sz w:val="22"/>
                <w:lang w:eastAsia="en-US"/>
              </w:rPr>
              <w:t xml:space="preserve">Katterfeldt, E.S., Dittert, N. &amp; Schelhowe, H., 2015. Designing digital fabrication learning environments for Bildung: IMPLICATIONS from ten years of physical computing workshops. </w:t>
            </w:r>
            <w:r w:rsidRPr="005379B3">
              <w:rPr>
                <w:rFonts w:ascii="Calibri" w:eastAsia="Calibri" w:hAnsi="Calibri"/>
                <w:i/>
                <w:iCs/>
                <w:noProof/>
                <w:sz w:val="22"/>
                <w:lang w:eastAsia="en-US"/>
              </w:rPr>
              <w:t>International Journal of Child-Computer Interaction</w:t>
            </w:r>
            <w:r w:rsidRPr="005379B3">
              <w:rPr>
                <w:rFonts w:ascii="Calibri" w:eastAsia="Calibri" w:hAnsi="Calibri"/>
                <w:noProof/>
                <w:sz w:val="22"/>
                <w:lang w:eastAsia="en-US"/>
              </w:rPr>
              <w:t>, 5, pp.3–10. Available at: http://dx.doi.org/10.1016/j.ijcci.2015.08.001.</w:t>
            </w:r>
          </w:p>
          <w:p w14:paraId="309F7279" w14:textId="77777777" w:rsidR="005379B3" w:rsidRPr="005379B3" w:rsidRDefault="005379B3" w:rsidP="005379B3">
            <w:pPr>
              <w:widowControl w:val="0"/>
              <w:autoSpaceDE w:val="0"/>
              <w:autoSpaceDN w:val="0"/>
              <w:adjustRightInd w:val="0"/>
              <w:spacing w:after="160" w:line="259" w:lineRule="auto"/>
              <w:ind w:left="480" w:hanging="480"/>
              <w:rPr>
                <w:rFonts w:ascii="Calibri" w:eastAsia="Calibri" w:hAnsi="Calibri"/>
                <w:noProof/>
                <w:sz w:val="22"/>
                <w:szCs w:val="22"/>
                <w:lang w:val="en-US" w:eastAsia="en-US"/>
              </w:rPr>
            </w:pPr>
            <w:r w:rsidRPr="005379B3">
              <w:rPr>
                <w:rFonts w:ascii="Calibri" w:eastAsia="Calibri" w:hAnsi="Calibri"/>
                <w:noProof/>
                <w:sz w:val="22"/>
                <w:szCs w:val="22"/>
                <w:lang w:val="en-US" w:eastAsia="en-US"/>
              </w:rPr>
              <w:t>Kuhlthau, C. C., 1988. Longitudinal case studies of the information search process of users in libraries. Library and Information Science Research, 10, 257−304.</w:t>
            </w:r>
          </w:p>
          <w:p w14:paraId="6FF75F33" w14:textId="77777777" w:rsidR="005379B3" w:rsidRPr="005379B3" w:rsidRDefault="005379B3" w:rsidP="005379B3">
            <w:pPr>
              <w:widowControl w:val="0"/>
              <w:autoSpaceDE w:val="0"/>
              <w:autoSpaceDN w:val="0"/>
              <w:adjustRightInd w:val="0"/>
              <w:spacing w:after="160" w:line="276" w:lineRule="auto"/>
              <w:ind w:left="480" w:hanging="480"/>
              <w:rPr>
                <w:rFonts w:ascii="Calibri" w:eastAsia="Calibri" w:hAnsi="Calibri"/>
                <w:noProof/>
                <w:sz w:val="22"/>
                <w:lang w:eastAsia="en-US"/>
              </w:rPr>
            </w:pPr>
            <w:r w:rsidRPr="005379B3">
              <w:rPr>
                <w:rFonts w:ascii="Calibri" w:eastAsia="Calibri" w:hAnsi="Calibri"/>
                <w:noProof/>
                <w:sz w:val="22"/>
                <w:lang w:eastAsia="en-US"/>
              </w:rPr>
              <w:t xml:space="preserve">Martin, L., 2015. The Promise of the Maker Movement for Education. </w:t>
            </w:r>
            <w:r w:rsidRPr="005379B3">
              <w:rPr>
                <w:rFonts w:ascii="Calibri" w:eastAsia="Calibri" w:hAnsi="Calibri"/>
                <w:i/>
                <w:iCs/>
                <w:noProof/>
                <w:sz w:val="22"/>
                <w:lang w:eastAsia="en-US"/>
              </w:rPr>
              <w:t>Journal of Pre-College Engineering Education Research Journal of Pre-College Engineering Education ResearchJ-PEER Journal of Pre-College Engineering Education Research</w:t>
            </w:r>
            <w:r w:rsidRPr="005379B3">
              <w:rPr>
                <w:rFonts w:ascii="Calibri" w:eastAsia="Calibri" w:hAnsi="Calibri"/>
                <w:noProof/>
                <w:sz w:val="22"/>
                <w:lang w:eastAsia="en-US"/>
              </w:rPr>
              <w:t>, 5(5), pp.1–30. Available at: http://docs.lib.purdue.edu/jpeer%5Cnhttp://dx.doi.org/10.7771/2157-9288.1099.</w:t>
            </w:r>
          </w:p>
          <w:p w14:paraId="000C202B" w14:textId="77777777" w:rsidR="005379B3" w:rsidRPr="005379B3" w:rsidRDefault="005379B3" w:rsidP="005379B3">
            <w:pPr>
              <w:widowControl w:val="0"/>
              <w:autoSpaceDE w:val="0"/>
              <w:autoSpaceDN w:val="0"/>
              <w:adjustRightInd w:val="0"/>
              <w:spacing w:after="160" w:line="276" w:lineRule="auto"/>
              <w:ind w:left="480" w:hanging="480"/>
              <w:rPr>
                <w:rFonts w:ascii="Calibri" w:eastAsia="Calibri" w:hAnsi="Calibri"/>
                <w:noProof/>
                <w:sz w:val="22"/>
                <w:lang w:eastAsia="en-US"/>
              </w:rPr>
            </w:pPr>
            <w:r w:rsidRPr="005379B3">
              <w:rPr>
                <w:rFonts w:ascii="Calibri" w:eastAsia="Calibri" w:hAnsi="Calibri"/>
                <w:noProof/>
                <w:sz w:val="22"/>
                <w:lang w:eastAsia="en-US"/>
              </w:rPr>
              <w:t xml:space="preserve">Martin, L. &amp; Dixon, C., 2016. Making as a Pathway to Engineering and Design. In K. Peppler &amp; E. Rosenfeld Halverson, eds. </w:t>
            </w:r>
            <w:r w:rsidRPr="005379B3">
              <w:rPr>
                <w:rFonts w:ascii="Calibri" w:eastAsia="Calibri" w:hAnsi="Calibri"/>
                <w:i/>
                <w:iCs/>
                <w:noProof/>
                <w:sz w:val="22"/>
                <w:lang w:eastAsia="en-US"/>
              </w:rPr>
              <w:t>Makeology: Makers as Learners - Volume 2</w:t>
            </w:r>
            <w:r w:rsidRPr="005379B3">
              <w:rPr>
                <w:rFonts w:ascii="Calibri" w:eastAsia="Calibri" w:hAnsi="Calibri"/>
                <w:noProof/>
                <w:sz w:val="22"/>
                <w:lang w:eastAsia="en-US"/>
              </w:rPr>
              <w:t>. London: Routledge.</w:t>
            </w:r>
          </w:p>
          <w:p w14:paraId="6C3AAFD1" w14:textId="77777777" w:rsidR="005379B3" w:rsidRPr="005379B3" w:rsidRDefault="005379B3" w:rsidP="005379B3">
            <w:pPr>
              <w:widowControl w:val="0"/>
              <w:autoSpaceDE w:val="0"/>
              <w:autoSpaceDN w:val="0"/>
              <w:adjustRightInd w:val="0"/>
              <w:spacing w:after="160" w:line="259" w:lineRule="auto"/>
              <w:ind w:left="480" w:hanging="480"/>
              <w:rPr>
                <w:rFonts w:ascii="Calibri" w:eastAsia="Calibri" w:hAnsi="Calibri"/>
                <w:noProof/>
                <w:sz w:val="22"/>
                <w:szCs w:val="22"/>
                <w:lang w:eastAsia="en-US"/>
              </w:rPr>
            </w:pPr>
            <w:r w:rsidRPr="005379B3">
              <w:rPr>
                <w:rFonts w:ascii="Calibri" w:eastAsia="Calibri" w:hAnsi="Calibri"/>
                <w:noProof/>
                <w:sz w:val="22"/>
                <w:szCs w:val="22"/>
                <w:lang w:eastAsia="en-US"/>
              </w:rPr>
              <w:t xml:space="preserve">Martinez, S.L. &amp; Stager, G., 2013. </w:t>
            </w:r>
            <w:r w:rsidRPr="005379B3">
              <w:rPr>
                <w:rFonts w:ascii="Calibri" w:eastAsia="Calibri" w:hAnsi="Calibri"/>
                <w:i/>
                <w:iCs/>
                <w:noProof/>
                <w:sz w:val="22"/>
                <w:szCs w:val="22"/>
                <w:lang w:eastAsia="en-US"/>
              </w:rPr>
              <w:t>Invent to Learn</w:t>
            </w:r>
            <w:r w:rsidRPr="005379B3">
              <w:rPr>
                <w:rFonts w:ascii="Calibri" w:eastAsia="Calibri" w:hAnsi="Calibri"/>
                <w:noProof/>
                <w:sz w:val="22"/>
                <w:szCs w:val="22"/>
                <w:lang w:eastAsia="en-US"/>
              </w:rPr>
              <w:t xml:space="preserve">, Constructing Modern Knowledge Press. Available at: </w:t>
            </w:r>
            <w:r w:rsidRPr="005379B3">
              <w:rPr>
                <w:rFonts w:ascii="Calibri" w:eastAsia="Calibri" w:hAnsi="Calibri"/>
                <w:noProof/>
                <w:sz w:val="22"/>
                <w:szCs w:val="22"/>
                <w:lang w:eastAsia="en-US"/>
              </w:rPr>
              <w:lastRenderedPageBreak/>
              <w:t>www.InventToLearn.com.</w:t>
            </w:r>
          </w:p>
          <w:p w14:paraId="2277C67C" w14:textId="77777777" w:rsidR="005379B3" w:rsidRPr="005379B3" w:rsidRDefault="005379B3" w:rsidP="005379B3">
            <w:pPr>
              <w:widowControl w:val="0"/>
              <w:autoSpaceDE w:val="0"/>
              <w:autoSpaceDN w:val="0"/>
              <w:adjustRightInd w:val="0"/>
              <w:spacing w:after="160" w:line="276" w:lineRule="auto"/>
              <w:ind w:left="480" w:hanging="480"/>
              <w:rPr>
                <w:rFonts w:ascii="Calibri" w:eastAsia="Calibri" w:hAnsi="Calibri"/>
                <w:noProof/>
                <w:sz w:val="22"/>
                <w:lang w:eastAsia="en-US"/>
              </w:rPr>
            </w:pPr>
            <w:r w:rsidRPr="005379B3">
              <w:rPr>
                <w:rFonts w:ascii="Calibri" w:eastAsia="Calibri" w:hAnsi="Calibri"/>
                <w:noProof/>
                <w:sz w:val="22"/>
                <w:lang w:eastAsia="en-US"/>
              </w:rPr>
              <w:t xml:space="preserve">Papavlasopoulou, S., Giannakos, M.N. &amp; Jaccheri, L., 2016. Empirical Studies on the Maker Movement, a Promising Approach to Learning: A Literature Review. </w:t>
            </w:r>
            <w:r w:rsidRPr="005379B3">
              <w:rPr>
                <w:rFonts w:ascii="Calibri" w:eastAsia="Calibri" w:hAnsi="Calibri"/>
                <w:i/>
                <w:iCs/>
                <w:noProof/>
                <w:sz w:val="22"/>
                <w:lang w:eastAsia="en-US"/>
              </w:rPr>
              <w:t>Entertainment Computing</w:t>
            </w:r>
            <w:r w:rsidRPr="005379B3">
              <w:rPr>
                <w:rFonts w:ascii="Calibri" w:eastAsia="Calibri" w:hAnsi="Calibri"/>
                <w:noProof/>
                <w:sz w:val="22"/>
                <w:lang w:eastAsia="en-US"/>
              </w:rPr>
              <w:t>, in press, pp.57–78. Available at: http://dx.doi.org/10.1016/j.entcom.2016.09.002.</w:t>
            </w:r>
          </w:p>
          <w:p w14:paraId="68065757" w14:textId="77777777" w:rsidR="005379B3" w:rsidRPr="005379B3" w:rsidRDefault="005379B3" w:rsidP="005379B3">
            <w:pPr>
              <w:widowControl w:val="0"/>
              <w:autoSpaceDE w:val="0"/>
              <w:autoSpaceDN w:val="0"/>
              <w:adjustRightInd w:val="0"/>
              <w:spacing w:after="160" w:line="259" w:lineRule="auto"/>
              <w:ind w:left="480" w:hanging="480"/>
              <w:rPr>
                <w:rFonts w:ascii="Calibri" w:eastAsia="Calibri" w:hAnsi="Calibri"/>
                <w:noProof/>
                <w:sz w:val="22"/>
                <w:szCs w:val="22"/>
                <w:lang w:val="en-US" w:eastAsia="en-US"/>
              </w:rPr>
            </w:pPr>
            <w:r w:rsidRPr="005379B3">
              <w:rPr>
                <w:rFonts w:ascii="Calibri" w:eastAsia="Calibri" w:hAnsi="Calibri"/>
                <w:noProof/>
                <w:sz w:val="22"/>
                <w:szCs w:val="22"/>
                <w:lang w:val="en-US" w:eastAsia="en-US"/>
              </w:rPr>
              <w:t xml:space="preserve">Papert, S., 1980. </w:t>
            </w:r>
            <w:r w:rsidRPr="005379B3">
              <w:rPr>
                <w:rFonts w:ascii="Calibri" w:eastAsia="Calibri" w:hAnsi="Calibri"/>
                <w:iCs/>
                <w:noProof/>
                <w:sz w:val="22"/>
                <w:szCs w:val="22"/>
                <w:lang w:val="en-US" w:eastAsia="en-US"/>
              </w:rPr>
              <w:t>Mindstorms: Children, Computers, and Powerful Ideas</w:t>
            </w:r>
            <w:r w:rsidRPr="005379B3">
              <w:rPr>
                <w:rFonts w:ascii="Calibri" w:eastAsia="Calibri" w:hAnsi="Calibri"/>
                <w:i/>
                <w:iCs/>
                <w:noProof/>
                <w:sz w:val="22"/>
                <w:szCs w:val="22"/>
                <w:lang w:val="en-US" w:eastAsia="en-US"/>
              </w:rPr>
              <w:t>.</w:t>
            </w:r>
            <w:r w:rsidRPr="005379B3">
              <w:rPr>
                <w:rFonts w:ascii="Calibri" w:eastAsia="Calibri" w:hAnsi="Calibri"/>
                <w:noProof/>
                <w:sz w:val="22"/>
                <w:szCs w:val="22"/>
                <w:lang w:val="en-US" w:eastAsia="en-US"/>
              </w:rPr>
              <w:t xml:space="preserve"> Basic Books, New York, NY.</w:t>
            </w:r>
          </w:p>
          <w:p w14:paraId="56518BB5" w14:textId="77777777" w:rsidR="005379B3" w:rsidRPr="005379B3" w:rsidRDefault="005379B3" w:rsidP="005379B3">
            <w:pPr>
              <w:widowControl w:val="0"/>
              <w:autoSpaceDE w:val="0"/>
              <w:autoSpaceDN w:val="0"/>
              <w:adjustRightInd w:val="0"/>
              <w:spacing w:after="160" w:line="259" w:lineRule="auto"/>
              <w:ind w:left="480" w:hanging="480"/>
              <w:rPr>
                <w:rFonts w:ascii="Calibri" w:eastAsia="Calibri" w:hAnsi="Calibri"/>
                <w:noProof/>
                <w:sz w:val="22"/>
                <w:szCs w:val="22"/>
                <w:lang w:val="en-US" w:eastAsia="en-US"/>
              </w:rPr>
            </w:pPr>
            <w:r w:rsidRPr="005379B3">
              <w:rPr>
                <w:rFonts w:ascii="Calibri" w:eastAsia="Calibri" w:hAnsi="Calibri"/>
                <w:noProof/>
                <w:sz w:val="22"/>
                <w:szCs w:val="22"/>
                <w:lang w:val="en-US" w:eastAsia="en-US"/>
              </w:rPr>
              <w:t>Petrich, M., Wilkinson, K., &amp; Bevan, B., 2013 It looks like fun but are they learning? In Honey, M., &amp; Kanter, D. E. (Eds.). Design, Make, Play: Growing the Next Generation of STEM Innovators. Routledge.</w:t>
            </w:r>
          </w:p>
          <w:p w14:paraId="11697633" w14:textId="77777777" w:rsidR="005379B3" w:rsidRPr="005379B3" w:rsidRDefault="005379B3" w:rsidP="005379B3">
            <w:pPr>
              <w:widowControl w:val="0"/>
              <w:autoSpaceDE w:val="0"/>
              <w:autoSpaceDN w:val="0"/>
              <w:adjustRightInd w:val="0"/>
              <w:spacing w:after="160" w:line="259" w:lineRule="auto"/>
              <w:ind w:left="480" w:hanging="480"/>
              <w:rPr>
                <w:rFonts w:ascii="Calibri" w:eastAsia="Calibri" w:hAnsi="Calibri"/>
                <w:noProof/>
                <w:sz w:val="22"/>
                <w:szCs w:val="22"/>
                <w:lang w:eastAsia="en-US"/>
              </w:rPr>
            </w:pPr>
            <w:r w:rsidRPr="005379B3">
              <w:rPr>
                <w:rFonts w:ascii="Calibri" w:eastAsia="Calibri" w:hAnsi="Calibri"/>
                <w:noProof/>
                <w:sz w:val="22"/>
                <w:szCs w:val="22"/>
                <w:lang w:val="en-US" w:eastAsia="en-US"/>
              </w:rPr>
              <w:t xml:space="preserve">Piaget, J., 1950. </w:t>
            </w:r>
            <w:r w:rsidRPr="005379B3">
              <w:rPr>
                <w:rFonts w:ascii="Calibri" w:eastAsia="Calibri" w:hAnsi="Calibri"/>
                <w:iCs/>
                <w:noProof/>
                <w:sz w:val="22"/>
                <w:szCs w:val="22"/>
                <w:lang w:val="en-US" w:eastAsia="en-US"/>
              </w:rPr>
              <w:t>The Psychology of Intelligence</w:t>
            </w:r>
            <w:r w:rsidRPr="005379B3">
              <w:rPr>
                <w:rFonts w:ascii="Calibri" w:eastAsia="Calibri" w:hAnsi="Calibri"/>
                <w:i/>
                <w:iCs/>
                <w:noProof/>
                <w:sz w:val="22"/>
                <w:szCs w:val="22"/>
                <w:lang w:val="en-US" w:eastAsia="en-US"/>
              </w:rPr>
              <w:t xml:space="preserve">. </w:t>
            </w:r>
            <w:r w:rsidRPr="005379B3">
              <w:rPr>
                <w:rFonts w:ascii="Calibri" w:eastAsia="Calibri" w:hAnsi="Calibri"/>
                <w:noProof/>
                <w:sz w:val="22"/>
                <w:szCs w:val="22"/>
                <w:lang w:val="en-US" w:eastAsia="en-US"/>
              </w:rPr>
              <w:t>Harcourt Brace. New York.</w:t>
            </w:r>
          </w:p>
          <w:p w14:paraId="15E83508" w14:textId="77777777" w:rsidR="005379B3" w:rsidRPr="005379B3" w:rsidRDefault="005379B3" w:rsidP="005379B3">
            <w:pPr>
              <w:widowControl w:val="0"/>
              <w:autoSpaceDE w:val="0"/>
              <w:autoSpaceDN w:val="0"/>
              <w:adjustRightInd w:val="0"/>
              <w:spacing w:after="160" w:line="259" w:lineRule="auto"/>
              <w:ind w:left="480" w:hanging="480"/>
              <w:rPr>
                <w:rFonts w:ascii="Calibri" w:eastAsia="Calibri" w:hAnsi="Calibri"/>
                <w:noProof/>
                <w:sz w:val="22"/>
                <w:szCs w:val="22"/>
                <w:lang w:eastAsia="en-US"/>
              </w:rPr>
            </w:pPr>
            <w:r w:rsidRPr="005379B3">
              <w:rPr>
                <w:rFonts w:ascii="Calibri" w:eastAsia="Calibri" w:hAnsi="Calibri"/>
                <w:noProof/>
                <w:sz w:val="22"/>
                <w:szCs w:val="22"/>
                <w:lang w:eastAsia="en-US"/>
              </w:rPr>
              <w:t xml:space="preserve">Sheridan, K., Halverson, E. &amp; Litts, B., 2014. Learning in the making: A comparative case study of three makerspaces. </w:t>
            </w:r>
            <w:r w:rsidRPr="005379B3">
              <w:rPr>
                <w:rFonts w:ascii="Calibri" w:eastAsia="Calibri" w:hAnsi="Calibri"/>
                <w:i/>
                <w:iCs/>
                <w:noProof/>
                <w:sz w:val="22"/>
                <w:szCs w:val="22"/>
                <w:lang w:eastAsia="en-US"/>
              </w:rPr>
              <w:t>Harvard Educational</w:t>
            </w:r>
            <w:r w:rsidRPr="005379B3">
              <w:rPr>
                <w:rFonts w:ascii="Calibri" w:eastAsia="Calibri" w:hAnsi="Calibri"/>
                <w:noProof/>
                <w:sz w:val="22"/>
                <w:szCs w:val="22"/>
                <w:lang w:eastAsia="en-US"/>
              </w:rPr>
              <w:t>, 84(4), pp.505–532. Available at: http://www.hepgjournals.org/doi/abs/10.17763/haer.84.4.brr34733723j648u.</w:t>
            </w:r>
          </w:p>
          <w:p w14:paraId="250BEF70" w14:textId="61AEF33B" w:rsidR="00861793" w:rsidRPr="002C4292" w:rsidRDefault="005379B3" w:rsidP="003F27A7">
            <w:pPr>
              <w:spacing w:after="160" w:line="276" w:lineRule="auto"/>
              <w:jc w:val="both"/>
              <w:rPr>
                <w:rFonts w:asciiTheme="minorHAnsi" w:hAnsiTheme="minorHAnsi"/>
              </w:rPr>
            </w:pPr>
            <w:r w:rsidRPr="005379B3">
              <w:rPr>
                <w:rFonts w:ascii="Calibri" w:eastAsia="Calibri" w:hAnsi="Calibri" w:cs="Arial"/>
                <w:color w:val="000000"/>
                <w:sz w:val="22"/>
                <w:szCs w:val="22"/>
                <w:lang w:eastAsia="en-US"/>
              </w:rPr>
              <w:fldChar w:fldCharType="end"/>
            </w:r>
          </w:p>
        </w:tc>
      </w:tr>
      <w:tr w:rsidR="00861793" w:rsidRPr="000E3051" w14:paraId="36C5E7B3" w14:textId="77777777" w:rsidTr="00291355">
        <w:trPr>
          <w:jc w:val="center"/>
        </w:trPr>
        <w:tc>
          <w:tcPr>
            <w:tcW w:w="471" w:type="dxa"/>
          </w:tcPr>
          <w:p w14:paraId="0F9206F0" w14:textId="4A5612F1" w:rsidR="00861793" w:rsidRPr="000E3051" w:rsidRDefault="00861793" w:rsidP="002E4DAA">
            <w:pPr>
              <w:rPr>
                <w:rFonts w:asciiTheme="minorHAnsi" w:hAnsiTheme="minorHAnsi"/>
              </w:rPr>
            </w:pPr>
            <w:r w:rsidRPr="000E3051">
              <w:rPr>
                <w:rFonts w:asciiTheme="minorHAnsi" w:hAnsiTheme="minorHAnsi"/>
                <w:sz w:val="22"/>
                <w:szCs w:val="22"/>
              </w:rPr>
              <w:lastRenderedPageBreak/>
              <w:t>Additional Information:</w:t>
            </w:r>
          </w:p>
        </w:tc>
        <w:tc>
          <w:tcPr>
            <w:tcW w:w="9587" w:type="dxa"/>
            <w:gridSpan w:val="2"/>
          </w:tcPr>
          <w:p w14:paraId="36727FDE" w14:textId="77777777" w:rsidR="005379B3" w:rsidRPr="005379B3" w:rsidRDefault="005379B3" w:rsidP="005379B3">
            <w:pPr>
              <w:keepNext/>
              <w:keepLines/>
              <w:spacing w:before="40" w:line="276" w:lineRule="auto"/>
              <w:outlineLvl w:val="1"/>
              <w:rPr>
                <w:rFonts w:ascii="Calibri" w:hAnsi="Calibri"/>
                <w:color w:val="2E74B5"/>
                <w:sz w:val="26"/>
                <w:szCs w:val="26"/>
                <w:lang w:eastAsia="en-US"/>
              </w:rPr>
            </w:pPr>
            <w:r w:rsidRPr="005379B3">
              <w:rPr>
                <w:rFonts w:ascii="Calibri" w:hAnsi="Calibri"/>
                <w:color w:val="2E74B5"/>
                <w:sz w:val="26"/>
                <w:szCs w:val="26"/>
                <w:lang w:eastAsia="en-US"/>
              </w:rPr>
              <w:t>Keywords</w:t>
            </w:r>
          </w:p>
          <w:p w14:paraId="61A03965" w14:textId="77777777" w:rsidR="005379B3" w:rsidRPr="005379B3" w:rsidRDefault="005379B3" w:rsidP="005379B3">
            <w:pPr>
              <w:spacing w:after="160" w:line="276" w:lineRule="auto"/>
              <w:jc w:val="both"/>
              <w:rPr>
                <w:rFonts w:ascii="Calibri" w:eastAsia="Calibri" w:hAnsi="Calibri" w:cs="Tahoma"/>
                <w:color w:val="000000"/>
                <w:sz w:val="22"/>
                <w:szCs w:val="22"/>
                <w:lang w:eastAsia="en-US"/>
              </w:rPr>
            </w:pPr>
            <w:r w:rsidRPr="005379B3">
              <w:rPr>
                <w:rFonts w:ascii="Calibri" w:eastAsia="Calibri" w:hAnsi="Calibri" w:cs="Tahoma"/>
                <w:color w:val="000000"/>
                <w:sz w:val="22"/>
                <w:szCs w:val="22"/>
                <w:lang w:eastAsia="en-US"/>
              </w:rPr>
              <w:t>Computer aided design, Constructionism, Information behaviour, Maker, Metacognition, Problem solving, Robotics education, STEM, Tinkering</w:t>
            </w:r>
          </w:p>
          <w:p w14:paraId="5AC6B80C" w14:textId="77777777" w:rsidR="005379B3" w:rsidRPr="005379B3" w:rsidRDefault="005379B3" w:rsidP="005379B3">
            <w:pPr>
              <w:keepNext/>
              <w:keepLines/>
              <w:spacing w:before="40" w:line="276" w:lineRule="auto"/>
              <w:outlineLvl w:val="1"/>
              <w:rPr>
                <w:rFonts w:ascii="Calibri" w:hAnsi="Calibri"/>
                <w:color w:val="2E74B5"/>
                <w:sz w:val="26"/>
                <w:szCs w:val="26"/>
                <w:lang w:eastAsia="en-US"/>
              </w:rPr>
            </w:pPr>
            <w:r w:rsidRPr="005379B3">
              <w:rPr>
                <w:rFonts w:ascii="Calibri" w:hAnsi="Calibri"/>
                <w:color w:val="2E74B5"/>
                <w:sz w:val="26"/>
                <w:szCs w:val="26"/>
                <w:lang w:eastAsia="en-US"/>
              </w:rPr>
              <w:t>Presentation/paper type</w:t>
            </w:r>
          </w:p>
          <w:p w14:paraId="5D90B7A2" w14:textId="77777777" w:rsidR="00861793" w:rsidRDefault="005379B3" w:rsidP="005379B3">
            <w:pPr>
              <w:spacing w:after="160" w:line="276" w:lineRule="auto"/>
              <w:jc w:val="both"/>
              <w:rPr>
                <w:rFonts w:ascii="Calibri" w:eastAsia="Calibri" w:hAnsi="Calibri" w:cs="Tahoma"/>
                <w:color w:val="000000"/>
                <w:sz w:val="22"/>
                <w:szCs w:val="22"/>
                <w:lang w:eastAsia="en-US"/>
              </w:rPr>
            </w:pPr>
            <w:r w:rsidRPr="005379B3">
              <w:rPr>
                <w:rFonts w:ascii="Calibri" w:eastAsia="Calibri" w:hAnsi="Calibri" w:cs="Tahoma"/>
                <w:color w:val="000000"/>
                <w:sz w:val="22"/>
                <w:szCs w:val="22"/>
                <w:lang w:eastAsia="en-US"/>
              </w:rPr>
              <w:t>Case study</w:t>
            </w:r>
          </w:p>
          <w:p w14:paraId="1EE311C1" w14:textId="5FDF54F7" w:rsidR="00D24E84" w:rsidRPr="00D24E84" w:rsidRDefault="00D24E84" w:rsidP="00D24E84">
            <w:pPr>
              <w:spacing w:after="160" w:line="276" w:lineRule="auto"/>
              <w:jc w:val="both"/>
              <w:rPr>
                <w:rFonts w:ascii="Calibri" w:eastAsia="Calibri" w:hAnsi="Calibri" w:cs="Tahoma"/>
                <w:color w:val="000000"/>
                <w:sz w:val="22"/>
                <w:szCs w:val="22"/>
                <w:lang w:eastAsia="en-US"/>
              </w:rPr>
            </w:pPr>
            <w:r w:rsidRPr="00D24E84">
              <w:rPr>
                <w:rFonts w:ascii="Calibri" w:eastAsia="Calibri" w:hAnsi="Calibri" w:cs="Tahoma"/>
                <w:color w:val="000000"/>
                <w:sz w:val="22"/>
                <w:szCs w:val="22"/>
                <w:lang w:eastAsia="en-US"/>
              </w:rPr>
              <w:t>First author: Richter</w:t>
            </w:r>
            <w:r>
              <w:rPr>
                <w:rFonts w:ascii="Calibri" w:eastAsia="Calibri" w:hAnsi="Calibri" w:cs="Tahoma"/>
                <w:color w:val="000000"/>
                <w:sz w:val="22"/>
                <w:szCs w:val="22"/>
                <w:lang w:eastAsia="en-US"/>
              </w:rPr>
              <w:t>, T.</w:t>
            </w:r>
          </w:p>
          <w:p w14:paraId="7020D630" w14:textId="707928C0" w:rsidR="00D24E84" w:rsidRPr="005379B3" w:rsidRDefault="00D24E84" w:rsidP="00D24E84">
            <w:pPr>
              <w:spacing w:after="160" w:line="276" w:lineRule="auto"/>
              <w:jc w:val="both"/>
              <w:rPr>
                <w:rFonts w:ascii="Calibri" w:eastAsia="Calibri" w:hAnsi="Calibri" w:cs="Tahoma"/>
                <w:color w:val="000000"/>
                <w:sz w:val="22"/>
                <w:szCs w:val="22"/>
                <w:lang w:eastAsia="en-US"/>
              </w:rPr>
            </w:pPr>
            <w:r w:rsidRPr="00D24E84">
              <w:rPr>
                <w:rFonts w:ascii="Calibri" w:eastAsia="Calibri" w:hAnsi="Calibri" w:cs="Tahoma"/>
                <w:color w:val="000000"/>
                <w:sz w:val="22"/>
                <w:szCs w:val="22"/>
                <w:lang w:eastAsia="en-US"/>
              </w:rPr>
              <w:t>Co-authors: Muir</w:t>
            </w:r>
            <w:r>
              <w:rPr>
                <w:rFonts w:ascii="Calibri" w:eastAsia="Calibri" w:hAnsi="Calibri" w:cs="Tahoma"/>
                <w:color w:val="000000"/>
                <w:sz w:val="22"/>
                <w:szCs w:val="22"/>
                <w:lang w:eastAsia="en-US"/>
              </w:rPr>
              <w:t>, L.,</w:t>
            </w:r>
            <w:r w:rsidRPr="00D24E84">
              <w:rPr>
                <w:rFonts w:ascii="Calibri" w:eastAsia="Calibri" w:hAnsi="Calibri" w:cs="Tahoma"/>
                <w:color w:val="000000"/>
                <w:sz w:val="22"/>
                <w:szCs w:val="22"/>
                <w:lang w:eastAsia="en-US"/>
              </w:rPr>
              <w:t xml:space="preserve"> Flint</w:t>
            </w:r>
            <w:r>
              <w:rPr>
                <w:rFonts w:ascii="Calibri" w:eastAsia="Calibri" w:hAnsi="Calibri" w:cs="Tahoma"/>
                <w:color w:val="000000"/>
                <w:sz w:val="22"/>
                <w:szCs w:val="22"/>
                <w:lang w:eastAsia="en-US"/>
              </w:rPr>
              <w:t>, T.</w:t>
            </w:r>
            <w:r w:rsidRPr="00D24E84">
              <w:rPr>
                <w:rFonts w:ascii="Calibri" w:eastAsia="Calibri" w:hAnsi="Calibri" w:cs="Tahoma"/>
                <w:color w:val="000000"/>
                <w:sz w:val="22"/>
                <w:szCs w:val="22"/>
                <w:lang w:eastAsia="en-US"/>
              </w:rPr>
              <w:t>, Hall</w:t>
            </w:r>
            <w:r>
              <w:rPr>
                <w:rFonts w:ascii="Calibri" w:eastAsia="Calibri" w:hAnsi="Calibri" w:cs="Tahoma"/>
                <w:color w:val="000000"/>
                <w:sz w:val="22"/>
                <w:szCs w:val="22"/>
                <w:lang w:eastAsia="en-US"/>
              </w:rPr>
              <w:t>, H.</w:t>
            </w:r>
            <w:r w:rsidRPr="00D24E84">
              <w:rPr>
                <w:rFonts w:ascii="Calibri" w:eastAsia="Calibri" w:hAnsi="Calibri" w:cs="Tahoma"/>
                <w:color w:val="000000"/>
                <w:sz w:val="22"/>
                <w:szCs w:val="22"/>
                <w:lang w:eastAsia="en-US"/>
              </w:rPr>
              <w:t>, Smith</w:t>
            </w:r>
            <w:r>
              <w:rPr>
                <w:rFonts w:ascii="Calibri" w:eastAsia="Calibri" w:hAnsi="Calibri" w:cs="Tahoma"/>
                <w:color w:val="000000"/>
                <w:sz w:val="22"/>
                <w:szCs w:val="22"/>
                <w:lang w:eastAsia="en-US"/>
              </w:rPr>
              <w:t>, C.</w:t>
            </w:r>
          </w:p>
        </w:tc>
      </w:tr>
    </w:tbl>
    <w:p w14:paraId="61568608" w14:textId="77777777" w:rsidR="00861793" w:rsidRPr="000E3051" w:rsidRDefault="00861793" w:rsidP="002E4DAA">
      <w:pPr>
        <w:rPr>
          <w:rFonts w:asciiTheme="minorHAnsi" w:hAnsiTheme="minorHAnsi"/>
          <w:sz w:val="22"/>
          <w:szCs w:val="22"/>
        </w:rPr>
      </w:pPr>
      <w:r w:rsidRPr="000E3051">
        <w:rPr>
          <w:rFonts w:asciiTheme="minorHAnsi" w:hAnsiTheme="minorHAnsi"/>
          <w:sz w:val="22"/>
          <w:szCs w:val="22"/>
        </w:rPr>
        <w:t xml:space="preserve">Once completed, please email this form (as an attachment) to </w:t>
      </w:r>
      <w:hyperlink r:id="rId11" w:history="1">
        <w:r w:rsidRPr="000E3051">
          <w:rPr>
            <w:rStyle w:val="Hyperlink"/>
            <w:rFonts w:asciiTheme="minorHAnsi" w:hAnsiTheme="minorHAnsi"/>
            <w:sz w:val="22"/>
            <w:szCs w:val="22"/>
          </w:rPr>
          <w:t>i3submissions@rgu.ac.uk</w:t>
        </w:r>
      </w:hyperlink>
      <w:r w:rsidRPr="000E3051">
        <w:rPr>
          <w:rFonts w:asciiTheme="minorHAnsi" w:hAnsiTheme="minorHAnsi"/>
          <w:sz w:val="22"/>
          <w:szCs w:val="22"/>
        </w:rPr>
        <w:t>. The receipt of your abstract will be acknowledged.</w:t>
      </w:r>
    </w:p>
    <w:sectPr w:rsidR="00861793" w:rsidRPr="000E3051" w:rsidSect="00641600">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CC9C1" w14:textId="77777777" w:rsidR="00D04A03" w:rsidRDefault="00D04A03" w:rsidP="00152759">
      <w:r>
        <w:separator/>
      </w:r>
    </w:p>
  </w:endnote>
  <w:endnote w:type="continuationSeparator" w:id="0">
    <w:p w14:paraId="2B007FCE" w14:textId="77777777" w:rsidR="00D04A03" w:rsidRDefault="00D04A03" w:rsidP="0015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nterstate Light">
    <w:altName w:val="Calibri"/>
    <w:panose1 w:val="00000000000000000000"/>
    <w:charset w:val="00"/>
    <w:family w:val="modern"/>
    <w:notTrueType/>
    <w:pitch w:val="variable"/>
    <w:sig w:usb0="800000AF" w:usb1="5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AdvOT8cb2ddb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CB1D" w14:textId="77777777" w:rsidR="00152759" w:rsidRDefault="001527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C6451" w14:textId="77777777" w:rsidR="00152759" w:rsidRDefault="001527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BB7B" w14:textId="77777777" w:rsidR="00152759" w:rsidRDefault="00152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D31EA" w14:textId="77777777" w:rsidR="00D04A03" w:rsidRDefault="00D04A03" w:rsidP="00152759">
      <w:r>
        <w:separator/>
      </w:r>
    </w:p>
  </w:footnote>
  <w:footnote w:type="continuationSeparator" w:id="0">
    <w:p w14:paraId="53AF1B04" w14:textId="77777777" w:rsidR="00D04A03" w:rsidRDefault="00D04A03" w:rsidP="00152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EE16C" w14:textId="77777777" w:rsidR="00152759" w:rsidRDefault="00152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5B167" w14:textId="77777777" w:rsidR="00152759" w:rsidRDefault="001527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DC04D" w14:textId="77777777" w:rsidR="00152759" w:rsidRDefault="00152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F6533"/>
    <w:multiLevelType w:val="hybridMultilevel"/>
    <w:tmpl w:val="4292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00113"/>
    <w:multiLevelType w:val="hybridMultilevel"/>
    <w:tmpl w:val="AD9A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0506E"/>
    <w:multiLevelType w:val="hybridMultilevel"/>
    <w:tmpl w:val="DDBA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00"/>
    <w:rsid w:val="00014309"/>
    <w:rsid w:val="00024BCB"/>
    <w:rsid w:val="00063453"/>
    <w:rsid w:val="00076B36"/>
    <w:rsid w:val="00090F7F"/>
    <w:rsid w:val="000C511C"/>
    <w:rsid w:val="000E3051"/>
    <w:rsid w:val="000F3156"/>
    <w:rsid w:val="001167BA"/>
    <w:rsid w:val="00142CAD"/>
    <w:rsid w:val="00145FF1"/>
    <w:rsid w:val="00152759"/>
    <w:rsid w:val="001627F4"/>
    <w:rsid w:val="0017655A"/>
    <w:rsid w:val="001C4FA0"/>
    <w:rsid w:val="001C68DD"/>
    <w:rsid w:val="001D1651"/>
    <w:rsid w:val="001D36FE"/>
    <w:rsid w:val="001F4D1F"/>
    <w:rsid w:val="00224B02"/>
    <w:rsid w:val="00232FCF"/>
    <w:rsid w:val="00274F50"/>
    <w:rsid w:val="00280E3A"/>
    <w:rsid w:val="00291355"/>
    <w:rsid w:val="00293AC6"/>
    <w:rsid w:val="002B6597"/>
    <w:rsid w:val="002C4292"/>
    <w:rsid w:val="002C6D12"/>
    <w:rsid w:val="002D2B59"/>
    <w:rsid w:val="002E09E6"/>
    <w:rsid w:val="002E4DAA"/>
    <w:rsid w:val="002F0D4F"/>
    <w:rsid w:val="003066B9"/>
    <w:rsid w:val="00310AB0"/>
    <w:rsid w:val="00317F42"/>
    <w:rsid w:val="003242F4"/>
    <w:rsid w:val="00355BF2"/>
    <w:rsid w:val="003766B4"/>
    <w:rsid w:val="00390076"/>
    <w:rsid w:val="003A2DFF"/>
    <w:rsid w:val="003D5480"/>
    <w:rsid w:val="003F27A7"/>
    <w:rsid w:val="004316EF"/>
    <w:rsid w:val="00445B35"/>
    <w:rsid w:val="00462363"/>
    <w:rsid w:val="004E1B79"/>
    <w:rsid w:val="00507347"/>
    <w:rsid w:val="00513CDC"/>
    <w:rsid w:val="005225CE"/>
    <w:rsid w:val="00523B18"/>
    <w:rsid w:val="00532DC7"/>
    <w:rsid w:val="005379B3"/>
    <w:rsid w:val="005B7A66"/>
    <w:rsid w:val="005C0B2D"/>
    <w:rsid w:val="005E0544"/>
    <w:rsid w:val="00600A15"/>
    <w:rsid w:val="006142EF"/>
    <w:rsid w:val="00620948"/>
    <w:rsid w:val="00641600"/>
    <w:rsid w:val="00660867"/>
    <w:rsid w:val="00693290"/>
    <w:rsid w:val="00696394"/>
    <w:rsid w:val="006B0CE8"/>
    <w:rsid w:val="006B6D40"/>
    <w:rsid w:val="006D2967"/>
    <w:rsid w:val="006D2EA2"/>
    <w:rsid w:val="0071707E"/>
    <w:rsid w:val="00730D7A"/>
    <w:rsid w:val="0074218D"/>
    <w:rsid w:val="00750DC3"/>
    <w:rsid w:val="00775924"/>
    <w:rsid w:val="0078126F"/>
    <w:rsid w:val="007915B6"/>
    <w:rsid w:val="007A13FD"/>
    <w:rsid w:val="007A39EB"/>
    <w:rsid w:val="007D4A0F"/>
    <w:rsid w:val="007F19CE"/>
    <w:rsid w:val="0081770E"/>
    <w:rsid w:val="00822873"/>
    <w:rsid w:val="00861465"/>
    <w:rsid w:val="0086151A"/>
    <w:rsid w:val="00861793"/>
    <w:rsid w:val="00882ACD"/>
    <w:rsid w:val="008B1921"/>
    <w:rsid w:val="008D2685"/>
    <w:rsid w:val="008F4D9C"/>
    <w:rsid w:val="00911803"/>
    <w:rsid w:val="00951B2F"/>
    <w:rsid w:val="009A6E39"/>
    <w:rsid w:val="00A27690"/>
    <w:rsid w:val="00A31C19"/>
    <w:rsid w:val="00A33592"/>
    <w:rsid w:val="00A34D0E"/>
    <w:rsid w:val="00A844D0"/>
    <w:rsid w:val="00AB1F27"/>
    <w:rsid w:val="00AC4872"/>
    <w:rsid w:val="00AC5488"/>
    <w:rsid w:val="00AD0DAD"/>
    <w:rsid w:val="00AD7B64"/>
    <w:rsid w:val="00AE0A83"/>
    <w:rsid w:val="00B03BBF"/>
    <w:rsid w:val="00B03DC8"/>
    <w:rsid w:val="00B30E33"/>
    <w:rsid w:val="00B5192D"/>
    <w:rsid w:val="00B940B0"/>
    <w:rsid w:val="00B944FE"/>
    <w:rsid w:val="00BB7CF6"/>
    <w:rsid w:val="00C61F3C"/>
    <w:rsid w:val="00C64861"/>
    <w:rsid w:val="00C6526F"/>
    <w:rsid w:val="00C8288C"/>
    <w:rsid w:val="00CA3003"/>
    <w:rsid w:val="00CA5734"/>
    <w:rsid w:val="00CE7E21"/>
    <w:rsid w:val="00D04A03"/>
    <w:rsid w:val="00D06838"/>
    <w:rsid w:val="00D24E84"/>
    <w:rsid w:val="00D502AE"/>
    <w:rsid w:val="00D61CA3"/>
    <w:rsid w:val="00D662AD"/>
    <w:rsid w:val="00D93483"/>
    <w:rsid w:val="00D9631D"/>
    <w:rsid w:val="00E01C05"/>
    <w:rsid w:val="00E27C4B"/>
    <w:rsid w:val="00E75D60"/>
    <w:rsid w:val="00EB2073"/>
    <w:rsid w:val="00EB3164"/>
    <w:rsid w:val="00EC1DAC"/>
    <w:rsid w:val="00ED516F"/>
    <w:rsid w:val="00EF0600"/>
    <w:rsid w:val="00EF5D83"/>
    <w:rsid w:val="00EF7213"/>
    <w:rsid w:val="00F13635"/>
    <w:rsid w:val="00F54CAA"/>
    <w:rsid w:val="00F65AB4"/>
    <w:rsid w:val="00F923F1"/>
    <w:rsid w:val="00FA1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B8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B3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41600"/>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41600"/>
    <w:rPr>
      <w:rFonts w:cs="Times New Roman"/>
      <w:color w:val="0000FF"/>
      <w:u w:val="single"/>
    </w:rPr>
  </w:style>
  <w:style w:type="paragraph" w:styleId="BalloonText">
    <w:name w:val="Balloon Text"/>
    <w:basedOn w:val="Normal"/>
    <w:link w:val="BalloonTextChar"/>
    <w:uiPriority w:val="99"/>
    <w:semiHidden/>
    <w:unhideWhenUsed/>
    <w:rsid w:val="00D9631D"/>
    <w:rPr>
      <w:rFonts w:ascii="Tahoma" w:hAnsi="Tahoma" w:cs="Tahoma"/>
      <w:sz w:val="16"/>
      <w:szCs w:val="16"/>
    </w:rPr>
  </w:style>
  <w:style w:type="character" w:customStyle="1" w:styleId="BalloonTextChar">
    <w:name w:val="Balloon Text Char"/>
    <w:basedOn w:val="DefaultParagraphFont"/>
    <w:link w:val="BalloonText"/>
    <w:uiPriority w:val="99"/>
    <w:semiHidden/>
    <w:rsid w:val="00D9631D"/>
    <w:rPr>
      <w:rFonts w:ascii="Tahoma" w:hAnsi="Tahoma" w:cs="Tahoma"/>
      <w:sz w:val="16"/>
      <w:szCs w:val="16"/>
    </w:rPr>
  </w:style>
  <w:style w:type="paragraph" w:customStyle="1" w:styleId="Default">
    <w:name w:val="Default"/>
    <w:rsid w:val="00951B2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US"/>
    </w:rPr>
  </w:style>
  <w:style w:type="character" w:customStyle="1" w:styleId="Hyperlink0">
    <w:name w:val="Hyperlink.0"/>
    <w:basedOn w:val="Hyperlink"/>
    <w:rsid w:val="00951B2F"/>
    <w:rPr>
      <w:rFonts w:cs="Times New Roman"/>
      <w:color w:val="0000FF"/>
      <w:u w:val="single"/>
    </w:rPr>
  </w:style>
  <w:style w:type="paragraph" w:styleId="ListParagraph">
    <w:name w:val="List Paragraph"/>
    <w:basedOn w:val="Normal"/>
    <w:uiPriority w:val="34"/>
    <w:qFormat/>
    <w:rsid w:val="0086151A"/>
    <w:pPr>
      <w:ind w:left="720"/>
      <w:contextualSpacing/>
    </w:pPr>
    <w:rPr>
      <w:rFonts w:asciiTheme="minorHAnsi" w:eastAsiaTheme="minorEastAsia" w:hAnsiTheme="minorHAnsi" w:cstheme="minorBidi"/>
      <w:lang w:val="en-US" w:eastAsia="en-US"/>
    </w:rPr>
  </w:style>
  <w:style w:type="character" w:customStyle="1" w:styleId="redtext">
    <w:name w:val="red text"/>
    <w:uiPriority w:val="99"/>
    <w:rsid w:val="008F4D9C"/>
    <w:rPr>
      <w:rFonts w:ascii="Interstate Light" w:hAnsi="Interstate Light" w:cs="Interstate Light"/>
      <w:color w:val="D80000"/>
      <w:sz w:val="22"/>
      <w:szCs w:val="22"/>
      <w:u w:val="thick"/>
    </w:rPr>
  </w:style>
  <w:style w:type="character" w:styleId="CommentReference">
    <w:name w:val="annotation reference"/>
    <w:basedOn w:val="DefaultParagraphFont"/>
    <w:uiPriority w:val="99"/>
    <w:semiHidden/>
    <w:unhideWhenUsed/>
    <w:rsid w:val="00C6526F"/>
    <w:rPr>
      <w:sz w:val="16"/>
      <w:szCs w:val="16"/>
    </w:rPr>
  </w:style>
  <w:style w:type="paragraph" w:styleId="CommentText">
    <w:name w:val="annotation text"/>
    <w:basedOn w:val="Normal"/>
    <w:link w:val="CommentTextChar"/>
    <w:uiPriority w:val="99"/>
    <w:semiHidden/>
    <w:unhideWhenUsed/>
    <w:rsid w:val="00C6526F"/>
    <w:rPr>
      <w:sz w:val="20"/>
      <w:szCs w:val="20"/>
    </w:rPr>
  </w:style>
  <w:style w:type="character" w:customStyle="1" w:styleId="CommentTextChar">
    <w:name w:val="Comment Text Char"/>
    <w:basedOn w:val="DefaultParagraphFont"/>
    <w:link w:val="CommentText"/>
    <w:uiPriority w:val="99"/>
    <w:semiHidden/>
    <w:rsid w:val="00C6526F"/>
    <w:rPr>
      <w:sz w:val="20"/>
      <w:szCs w:val="20"/>
    </w:rPr>
  </w:style>
  <w:style w:type="paragraph" w:styleId="CommentSubject">
    <w:name w:val="annotation subject"/>
    <w:basedOn w:val="CommentText"/>
    <w:next w:val="CommentText"/>
    <w:link w:val="CommentSubjectChar"/>
    <w:uiPriority w:val="99"/>
    <w:semiHidden/>
    <w:unhideWhenUsed/>
    <w:rsid w:val="00C6526F"/>
    <w:rPr>
      <w:b/>
      <w:bCs/>
    </w:rPr>
  </w:style>
  <w:style w:type="character" w:customStyle="1" w:styleId="CommentSubjectChar">
    <w:name w:val="Comment Subject Char"/>
    <w:basedOn w:val="CommentTextChar"/>
    <w:link w:val="CommentSubject"/>
    <w:uiPriority w:val="99"/>
    <w:semiHidden/>
    <w:rsid w:val="00C6526F"/>
    <w:rPr>
      <w:b/>
      <w:bCs/>
      <w:sz w:val="20"/>
      <w:szCs w:val="20"/>
    </w:rPr>
  </w:style>
  <w:style w:type="paragraph" w:styleId="Revision">
    <w:name w:val="Revision"/>
    <w:hidden/>
    <w:uiPriority w:val="99"/>
    <w:semiHidden/>
    <w:rsid w:val="001D36FE"/>
    <w:pPr>
      <w:spacing w:after="0" w:line="240" w:lineRule="auto"/>
    </w:pPr>
    <w:rPr>
      <w:sz w:val="24"/>
      <w:szCs w:val="24"/>
    </w:rPr>
  </w:style>
  <w:style w:type="paragraph" w:styleId="Header">
    <w:name w:val="header"/>
    <w:basedOn w:val="Normal"/>
    <w:link w:val="HeaderChar"/>
    <w:uiPriority w:val="99"/>
    <w:unhideWhenUsed/>
    <w:rsid w:val="00152759"/>
    <w:pPr>
      <w:tabs>
        <w:tab w:val="center" w:pos="4513"/>
        <w:tab w:val="right" w:pos="9026"/>
      </w:tabs>
    </w:pPr>
  </w:style>
  <w:style w:type="character" w:customStyle="1" w:styleId="HeaderChar">
    <w:name w:val="Header Char"/>
    <w:basedOn w:val="DefaultParagraphFont"/>
    <w:link w:val="Header"/>
    <w:uiPriority w:val="99"/>
    <w:rsid w:val="00152759"/>
    <w:rPr>
      <w:sz w:val="24"/>
      <w:szCs w:val="24"/>
    </w:rPr>
  </w:style>
  <w:style w:type="paragraph" w:styleId="Footer">
    <w:name w:val="footer"/>
    <w:basedOn w:val="Normal"/>
    <w:link w:val="FooterChar"/>
    <w:uiPriority w:val="99"/>
    <w:unhideWhenUsed/>
    <w:rsid w:val="00152759"/>
    <w:pPr>
      <w:tabs>
        <w:tab w:val="center" w:pos="4513"/>
        <w:tab w:val="right" w:pos="9026"/>
      </w:tabs>
    </w:pPr>
  </w:style>
  <w:style w:type="character" w:customStyle="1" w:styleId="FooterChar">
    <w:name w:val="Footer Char"/>
    <w:basedOn w:val="DefaultParagraphFont"/>
    <w:link w:val="Footer"/>
    <w:uiPriority w:val="99"/>
    <w:rsid w:val="001527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97786">
      <w:bodyDiv w:val="1"/>
      <w:marLeft w:val="0"/>
      <w:marRight w:val="0"/>
      <w:marTop w:val="0"/>
      <w:marBottom w:val="0"/>
      <w:divBdr>
        <w:top w:val="none" w:sz="0" w:space="0" w:color="auto"/>
        <w:left w:val="none" w:sz="0" w:space="0" w:color="auto"/>
        <w:bottom w:val="none" w:sz="0" w:space="0" w:color="auto"/>
        <w:right w:val="none" w:sz="0" w:space="0" w:color="auto"/>
      </w:divBdr>
    </w:div>
    <w:div w:id="1790926904">
      <w:bodyDiv w:val="1"/>
      <w:marLeft w:val="0"/>
      <w:marRight w:val="0"/>
      <w:marTop w:val="0"/>
      <w:marBottom w:val="0"/>
      <w:divBdr>
        <w:top w:val="none" w:sz="0" w:space="0" w:color="auto"/>
        <w:left w:val="none" w:sz="0" w:space="0" w:color="auto"/>
        <w:bottom w:val="none" w:sz="0" w:space="0" w:color="auto"/>
        <w:right w:val="none" w:sz="0" w:space="0" w:color="auto"/>
      </w:divBdr>
      <w:divsChild>
        <w:div w:id="903949805">
          <w:marLeft w:val="0"/>
          <w:marRight w:val="0"/>
          <w:marTop w:val="0"/>
          <w:marBottom w:val="0"/>
          <w:divBdr>
            <w:top w:val="none" w:sz="0" w:space="0" w:color="auto"/>
            <w:left w:val="none" w:sz="0" w:space="0" w:color="auto"/>
            <w:bottom w:val="none" w:sz="0" w:space="0" w:color="auto"/>
            <w:right w:val="none" w:sz="0" w:space="0" w:color="auto"/>
          </w:divBdr>
        </w:div>
        <w:div w:id="169839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3submissions@rgu.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muir@napier.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dd.richter@napier.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B665E9-AC4A-40CA-A645-EB53E1B0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1718</Words>
  <Characters>22868</Characters>
  <Application>Microsoft Office Word</Application>
  <DocSecurity>4</DocSecurity>
  <Lines>190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2017-04-24T14:43:00Z</dcterms:created>
  <dcterms:modified xsi:type="dcterms:W3CDTF">2017-04-24T14:43:00Z</dcterms:modified>
</cp:coreProperties>
</file>