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C32" w:rsidRPr="00414308" w:rsidRDefault="00374718" w:rsidP="00414308">
      <w:pPr>
        <w:jc w:val="center"/>
        <w:rPr>
          <w:rFonts w:asciiTheme="majorHAnsi" w:hAnsiTheme="majorHAnsi"/>
          <w:sz w:val="22"/>
          <w:szCs w:val="22"/>
        </w:rPr>
      </w:pPr>
      <w:bookmarkStart w:id="0" w:name="_GoBack"/>
      <w:bookmarkEnd w:id="0"/>
      <w:r>
        <w:rPr>
          <w:rFonts w:asciiTheme="majorHAnsi" w:hAnsiTheme="majorHAnsi"/>
          <w:noProof/>
          <w:sz w:val="22"/>
          <w:szCs w:val="22"/>
        </w:rPr>
        <w:drawing>
          <wp:inline distT="0" distB="0" distL="0" distR="0" wp14:anchorId="1DAF46CF" wp14:editId="683C2819">
            <wp:extent cx="6756400" cy="914400"/>
            <wp:effectExtent l="0" t="0" r="0" b="0"/>
            <wp:docPr id="1" name="Picture 1" descr="conference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erenceba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6400" cy="914400"/>
                    </a:xfrm>
                    <a:prstGeom prst="rect">
                      <a:avLst/>
                    </a:prstGeom>
                    <a:noFill/>
                    <a:ln>
                      <a:noFill/>
                    </a:ln>
                  </pic:spPr>
                </pic:pic>
              </a:graphicData>
            </a:graphic>
          </wp:inline>
        </w:drawing>
      </w:r>
    </w:p>
    <w:p w:rsidR="00F14C32" w:rsidRPr="00414308" w:rsidRDefault="00F14C32" w:rsidP="00414308">
      <w:pPr>
        <w:rPr>
          <w:rFonts w:asciiTheme="majorHAnsi" w:hAnsiTheme="majorHAnsi"/>
          <w:sz w:val="22"/>
          <w:szCs w:val="22"/>
        </w:rPr>
      </w:pPr>
    </w:p>
    <w:p w:rsidR="00F14C32" w:rsidRPr="00414308" w:rsidRDefault="00F14C32" w:rsidP="00414308">
      <w:pPr>
        <w:jc w:val="center"/>
        <w:rPr>
          <w:rFonts w:asciiTheme="majorHAnsi" w:hAnsiTheme="majorHAnsi"/>
          <w:sz w:val="22"/>
          <w:szCs w:val="22"/>
        </w:rPr>
      </w:pPr>
      <w:r w:rsidRPr="00414308">
        <w:rPr>
          <w:rFonts w:asciiTheme="majorHAnsi" w:hAnsiTheme="majorHAnsi"/>
          <w:sz w:val="22"/>
          <w:szCs w:val="22"/>
        </w:rPr>
        <w:t>Abstract Submission Form</w:t>
      </w:r>
    </w:p>
    <w:p w:rsidR="00F14C32" w:rsidRPr="00414308" w:rsidRDefault="00F14C32" w:rsidP="00414308">
      <w:pPr>
        <w:rPr>
          <w:rFonts w:asciiTheme="majorHAnsi" w:hAnsiTheme="majorHAnsi"/>
          <w:sz w:val="22"/>
          <w:szCs w:val="22"/>
        </w:rPr>
      </w:pPr>
    </w:p>
    <w:p w:rsidR="00F14C32" w:rsidRPr="00414308" w:rsidRDefault="00F14C32" w:rsidP="00414308">
      <w:pPr>
        <w:rPr>
          <w:rFonts w:asciiTheme="majorHAnsi" w:hAnsiTheme="majorHAnsi"/>
          <w:sz w:val="22"/>
          <w:szCs w:val="22"/>
        </w:rPr>
      </w:pPr>
      <w:r w:rsidRPr="00414308">
        <w:rPr>
          <w:rFonts w:asciiTheme="majorHAnsi" w:hAnsiTheme="majorHAnsi"/>
          <w:sz w:val="22"/>
          <w:szCs w:val="22"/>
        </w:rPr>
        <w:t>First Speaker and Main Contact</w:t>
      </w:r>
    </w:p>
    <w:p w:rsidR="00F14C32" w:rsidRPr="00414308" w:rsidRDefault="00F14C32" w:rsidP="00414308">
      <w:pPr>
        <w:rPr>
          <w:rFonts w:asciiTheme="majorHAnsi" w:hAnsiTheme="maj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011"/>
        <w:gridCol w:w="5534"/>
      </w:tblGrid>
      <w:tr w:rsidR="00F14C32" w:rsidRPr="00414308">
        <w:trPr>
          <w:jc w:val="center"/>
        </w:trPr>
        <w:tc>
          <w:tcPr>
            <w:tcW w:w="4011" w:type="dxa"/>
          </w:tcPr>
          <w:p w:rsidR="00F14C32" w:rsidRPr="00414308" w:rsidRDefault="00F14C32" w:rsidP="00414308">
            <w:pPr>
              <w:rPr>
                <w:rFonts w:asciiTheme="majorHAnsi" w:hAnsiTheme="majorHAnsi"/>
                <w:sz w:val="22"/>
                <w:szCs w:val="22"/>
              </w:rPr>
            </w:pPr>
            <w:r w:rsidRPr="00414308">
              <w:rPr>
                <w:rFonts w:asciiTheme="majorHAnsi" w:hAnsiTheme="majorHAnsi"/>
                <w:sz w:val="22"/>
                <w:szCs w:val="22"/>
              </w:rPr>
              <w:t>Title:</w:t>
            </w:r>
          </w:p>
        </w:tc>
        <w:tc>
          <w:tcPr>
            <w:tcW w:w="5534" w:type="dxa"/>
          </w:tcPr>
          <w:p w:rsidR="00F14C32" w:rsidRPr="00414308" w:rsidRDefault="00F14C32" w:rsidP="00414308">
            <w:pPr>
              <w:jc w:val="both"/>
              <w:rPr>
                <w:rFonts w:asciiTheme="majorHAnsi" w:hAnsiTheme="majorHAnsi"/>
                <w:sz w:val="22"/>
                <w:szCs w:val="22"/>
              </w:rPr>
            </w:pPr>
            <w:r w:rsidRPr="00414308">
              <w:rPr>
                <w:rFonts w:asciiTheme="majorHAnsi" w:hAnsiTheme="majorHAnsi"/>
                <w:sz w:val="22"/>
                <w:szCs w:val="22"/>
              </w:rPr>
              <w:t>Ms</w:t>
            </w:r>
          </w:p>
        </w:tc>
      </w:tr>
      <w:tr w:rsidR="00F14C32" w:rsidRPr="00414308">
        <w:trPr>
          <w:jc w:val="center"/>
        </w:trPr>
        <w:tc>
          <w:tcPr>
            <w:tcW w:w="4011" w:type="dxa"/>
          </w:tcPr>
          <w:p w:rsidR="00F14C32" w:rsidRPr="00414308" w:rsidRDefault="00F14C32" w:rsidP="00414308">
            <w:pPr>
              <w:rPr>
                <w:rFonts w:asciiTheme="majorHAnsi" w:hAnsiTheme="majorHAnsi"/>
                <w:sz w:val="22"/>
                <w:szCs w:val="22"/>
              </w:rPr>
            </w:pPr>
            <w:r w:rsidRPr="00414308">
              <w:rPr>
                <w:rFonts w:asciiTheme="majorHAnsi" w:hAnsiTheme="majorHAnsi"/>
                <w:sz w:val="22"/>
                <w:szCs w:val="22"/>
              </w:rPr>
              <w:t>First Name:</w:t>
            </w:r>
          </w:p>
        </w:tc>
        <w:tc>
          <w:tcPr>
            <w:tcW w:w="5534" w:type="dxa"/>
          </w:tcPr>
          <w:p w:rsidR="00F14C32" w:rsidRPr="00414308" w:rsidRDefault="00F14C32" w:rsidP="00414308">
            <w:pPr>
              <w:jc w:val="both"/>
              <w:rPr>
                <w:rFonts w:asciiTheme="majorHAnsi" w:hAnsiTheme="majorHAnsi"/>
                <w:sz w:val="22"/>
                <w:szCs w:val="22"/>
              </w:rPr>
            </w:pPr>
            <w:r w:rsidRPr="00414308">
              <w:rPr>
                <w:rFonts w:asciiTheme="majorHAnsi" w:hAnsiTheme="majorHAnsi"/>
                <w:sz w:val="22"/>
                <w:szCs w:val="22"/>
              </w:rPr>
              <w:t>Lynn</w:t>
            </w:r>
          </w:p>
        </w:tc>
      </w:tr>
      <w:tr w:rsidR="00F14C32" w:rsidRPr="00414308">
        <w:trPr>
          <w:jc w:val="center"/>
        </w:trPr>
        <w:tc>
          <w:tcPr>
            <w:tcW w:w="4011" w:type="dxa"/>
          </w:tcPr>
          <w:p w:rsidR="00F14C32" w:rsidRPr="00414308" w:rsidRDefault="00F14C32" w:rsidP="00414308">
            <w:pPr>
              <w:rPr>
                <w:rFonts w:asciiTheme="majorHAnsi" w:hAnsiTheme="majorHAnsi"/>
                <w:sz w:val="22"/>
                <w:szCs w:val="22"/>
              </w:rPr>
            </w:pPr>
            <w:r w:rsidRPr="00414308">
              <w:rPr>
                <w:rFonts w:asciiTheme="majorHAnsi" w:hAnsiTheme="majorHAnsi"/>
                <w:sz w:val="22"/>
                <w:szCs w:val="22"/>
              </w:rPr>
              <w:t>Surname/Family Name:</w:t>
            </w:r>
          </w:p>
        </w:tc>
        <w:tc>
          <w:tcPr>
            <w:tcW w:w="5534" w:type="dxa"/>
          </w:tcPr>
          <w:p w:rsidR="00F14C32" w:rsidRPr="00414308" w:rsidRDefault="00F14C32" w:rsidP="00414308">
            <w:pPr>
              <w:jc w:val="both"/>
              <w:rPr>
                <w:rFonts w:asciiTheme="majorHAnsi" w:hAnsiTheme="majorHAnsi"/>
                <w:sz w:val="22"/>
                <w:szCs w:val="22"/>
              </w:rPr>
            </w:pPr>
            <w:r w:rsidRPr="00414308">
              <w:rPr>
                <w:rFonts w:asciiTheme="majorHAnsi" w:hAnsiTheme="majorHAnsi"/>
                <w:sz w:val="22"/>
                <w:szCs w:val="22"/>
              </w:rPr>
              <w:t>Killick</w:t>
            </w:r>
          </w:p>
        </w:tc>
      </w:tr>
      <w:tr w:rsidR="00F14C32" w:rsidRPr="00414308">
        <w:trPr>
          <w:jc w:val="center"/>
        </w:trPr>
        <w:tc>
          <w:tcPr>
            <w:tcW w:w="4011" w:type="dxa"/>
          </w:tcPr>
          <w:p w:rsidR="00F14C32" w:rsidRPr="00414308" w:rsidRDefault="00F14C32" w:rsidP="00414308">
            <w:pPr>
              <w:rPr>
                <w:rFonts w:asciiTheme="majorHAnsi" w:hAnsiTheme="majorHAnsi"/>
                <w:sz w:val="22"/>
                <w:szCs w:val="22"/>
              </w:rPr>
            </w:pPr>
            <w:r w:rsidRPr="00414308">
              <w:rPr>
                <w:rFonts w:asciiTheme="majorHAnsi" w:hAnsiTheme="majorHAnsi"/>
                <w:sz w:val="22"/>
                <w:szCs w:val="22"/>
              </w:rPr>
              <w:t>Institution:</w:t>
            </w:r>
          </w:p>
        </w:tc>
        <w:tc>
          <w:tcPr>
            <w:tcW w:w="5534" w:type="dxa"/>
          </w:tcPr>
          <w:p w:rsidR="00F14C32" w:rsidRPr="00414308" w:rsidRDefault="00F14C32" w:rsidP="00414308">
            <w:pPr>
              <w:jc w:val="both"/>
              <w:rPr>
                <w:rFonts w:asciiTheme="majorHAnsi" w:hAnsiTheme="majorHAnsi"/>
                <w:sz w:val="22"/>
                <w:szCs w:val="22"/>
              </w:rPr>
            </w:pPr>
            <w:r w:rsidRPr="00414308">
              <w:rPr>
                <w:rFonts w:asciiTheme="majorHAnsi" w:hAnsiTheme="majorHAnsi"/>
                <w:sz w:val="22"/>
                <w:szCs w:val="22"/>
              </w:rPr>
              <w:t>Edinburgh Napier University</w:t>
            </w:r>
          </w:p>
        </w:tc>
      </w:tr>
      <w:tr w:rsidR="00F14C32" w:rsidRPr="00414308">
        <w:trPr>
          <w:jc w:val="center"/>
        </w:trPr>
        <w:tc>
          <w:tcPr>
            <w:tcW w:w="4011" w:type="dxa"/>
          </w:tcPr>
          <w:p w:rsidR="00F14C32" w:rsidRPr="00414308" w:rsidRDefault="00F14C32" w:rsidP="00414308">
            <w:pPr>
              <w:rPr>
                <w:rFonts w:asciiTheme="majorHAnsi" w:hAnsiTheme="majorHAnsi"/>
                <w:sz w:val="22"/>
                <w:szCs w:val="22"/>
              </w:rPr>
            </w:pPr>
            <w:r w:rsidRPr="00414308">
              <w:rPr>
                <w:rFonts w:asciiTheme="majorHAnsi" w:hAnsiTheme="majorHAnsi"/>
                <w:sz w:val="22"/>
                <w:szCs w:val="22"/>
              </w:rPr>
              <w:t>Job Title:</w:t>
            </w:r>
          </w:p>
        </w:tc>
        <w:tc>
          <w:tcPr>
            <w:tcW w:w="5534" w:type="dxa"/>
          </w:tcPr>
          <w:p w:rsidR="00F14C32" w:rsidRPr="00414308" w:rsidRDefault="00F14C32" w:rsidP="00414308">
            <w:pPr>
              <w:jc w:val="both"/>
              <w:rPr>
                <w:rFonts w:asciiTheme="majorHAnsi" w:hAnsiTheme="majorHAnsi"/>
                <w:sz w:val="22"/>
                <w:szCs w:val="22"/>
              </w:rPr>
            </w:pPr>
            <w:r w:rsidRPr="00414308">
              <w:rPr>
                <w:rFonts w:asciiTheme="majorHAnsi" w:hAnsiTheme="majorHAnsi"/>
                <w:sz w:val="22"/>
                <w:szCs w:val="22"/>
              </w:rPr>
              <w:t>PhD Research Student</w:t>
            </w:r>
          </w:p>
        </w:tc>
      </w:tr>
      <w:tr w:rsidR="00F14C32" w:rsidRPr="00414308">
        <w:trPr>
          <w:jc w:val="center"/>
        </w:trPr>
        <w:tc>
          <w:tcPr>
            <w:tcW w:w="4011" w:type="dxa"/>
          </w:tcPr>
          <w:p w:rsidR="00F14C32" w:rsidRPr="00414308" w:rsidRDefault="00F14C32" w:rsidP="00414308">
            <w:pPr>
              <w:rPr>
                <w:rFonts w:asciiTheme="majorHAnsi" w:hAnsiTheme="majorHAnsi"/>
                <w:sz w:val="22"/>
                <w:szCs w:val="22"/>
              </w:rPr>
            </w:pPr>
            <w:r w:rsidRPr="00414308">
              <w:rPr>
                <w:rFonts w:asciiTheme="majorHAnsi" w:hAnsiTheme="majorHAnsi"/>
                <w:sz w:val="22"/>
                <w:szCs w:val="22"/>
              </w:rPr>
              <w:t>Postal Address:</w:t>
            </w:r>
          </w:p>
        </w:tc>
        <w:tc>
          <w:tcPr>
            <w:tcW w:w="5534" w:type="dxa"/>
          </w:tcPr>
          <w:p w:rsidR="00F14C32" w:rsidRPr="00414308" w:rsidRDefault="00F14C32" w:rsidP="00BE1D2B">
            <w:pPr>
              <w:jc w:val="both"/>
              <w:rPr>
                <w:rFonts w:asciiTheme="majorHAnsi" w:hAnsiTheme="majorHAnsi"/>
                <w:sz w:val="22"/>
                <w:szCs w:val="22"/>
              </w:rPr>
            </w:pPr>
            <w:r w:rsidRPr="00414308">
              <w:rPr>
                <w:rFonts w:asciiTheme="majorHAnsi" w:hAnsiTheme="majorHAnsi"/>
                <w:sz w:val="22"/>
                <w:szCs w:val="22"/>
              </w:rPr>
              <w:t>Room C</w:t>
            </w:r>
            <w:r w:rsidR="009E753A">
              <w:rPr>
                <w:rFonts w:asciiTheme="majorHAnsi" w:hAnsiTheme="majorHAnsi"/>
                <w:sz w:val="22"/>
                <w:szCs w:val="22"/>
              </w:rPr>
              <w:t>3</w:t>
            </w:r>
            <w:r w:rsidR="00BE1D2B">
              <w:rPr>
                <w:rFonts w:asciiTheme="majorHAnsi" w:hAnsiTheme="majorHAnsi"/>
                <w:sz w:val="22"/>
                <w:szCs w:val="22"/>
              </w:rPr>
              <w:t>5</w:t>
            </w:r>
            <w:r w:rsidR="009E753A">
              <w:rPr>
                <w:rFonts w:asciiTheme="majorHAnsi" w:hAnsiTheme="majorHAnsi"/>
                <w:sz w:val="22"/>
                <w:szCs w:val="22"/>
              </w:rPr>
              <w:t>A</w:t>
            </w:r>
            <w:r w:rsidRPr="00414308">
              <w:rPr>
                <w:rFonts w:asciiTheme="majorHAnsi" w:hAnsiTheme="majorHAnsi"/>
                <w:sz w:val="22"/>
                <w:szCs w:val="22"/>
              </w:rPr>
              <w:t xml:space="preserve">, 10 Colinton Road, </w:t>
            </w:r>
          </w:p>
        </w:tc>
      </w:tr>
      <w:tr w:rsidR="00F14C32" w:rsidRPr="00414308">
        <w:trPr>
          <w:jc w:val="center"/>
        </w:trPr>
        <w:tc>
          <w:tcPr>
            <w:tcW w:w="4011" w:type="dxa"/>
          </w:tcPr>
          <w:p w:rsidR="00F14C32" w:rsidRPr="00414308" w:rsidRDefault="00F14C32" w:rsidP="00414308">
            <w:pPr>
              <w:rPr>
                <w:rFonts w:asciiTheme="majorHAnsi" w:hAnsiTheme="majorHAnsi"/>
                <w:sz w:val="22"/>
                <w:szCs w:val="22"/>
              </w:rPr>
            </w:pPr>
            <w:r w:rsidRPr="00414308">
              <w:rPr>
                <w:rFonts w:asciiTheme="majorHAnsi" w:hAnsiTheme="majorHAnsi"/>
                <w:sz w:val="22"/>
                <w:szCs w:val="22"/>
              </w:rPr>
              <w:t>City:</w:t>
            </w:r>
          </w:p>
        </w:tc>
        <w:tc>
          <w:tcPr>
            <w:tcW w:w="5534" w:type="dxa"/>
          </w:tcPr>
          <w:p w:rsidR="00F14C32" w:rsidRPr="00414308" w:rsidRDefault="00F14C32" w:rsidP="00414308">
            <w:pPr>
              <w:jc w:val="both"/>
              <w:rPr>
                <w:rFonts w:asciiTheme="majorHAnsi" w:hAnsiTheme="majorHAnsi"/>
                <w:sz w:val="22"/>
                <w:szCs w:val="22"/>
              </w:rPr>
            </w:pPr>
            <w:r w:rsidRPr="00414308">
              <w:rPr>
                <w:rFonts w:asciiTheme="majorHAnsi" w:hAnsiTheme="majorHAnsi"/>
                <w:sz w:val="22"/>
                <w:szCs w:val="22"/>
              </w:rPr>
              <w:t>Edinburgh</w:t>
            </w:r>
          </w:p>
        </w:tc>
      </w:tr>
      <w:tr w:rsidR="00F14C32" w:rsidRPr="00414308">
        <w:trPr>
          <w:jc w:val="center"/>
        </w:trPr>
        <w:tc>
          <w:tcPr>
            <w:tcW w:w="4011" w:type="dxa"/>
          </w:tcPr>
          <w:p w:rsidR="00F14C32" w:rsidRPr="00414308" w:rsidRDefault="00F14C32" w:rsidP="00414308">
            <w:pPr>
              <w:rPr>
                <w:rFonts w:asciiTheme="majorHAnsi" w:hAnsiTheme="majorHAnsi"/>
                <w:sz w:val="22"/>
                <w:szCs w:val="22"/>
              </w:rPr>
            </w:pPr>
            <w:r w:rsidRPr="00414308">
              <w:rPr>
                <w:rFonts w:asciiTheme="majorHAnsi" w:hAnsiTheme="majorHAnsi"/>
                <w:sz w:val="22"/>
                <w:szCs w:val="22"/>
              </w:rPr>
              <w:t>Postal or ZIP Code:</w:t>
            </w:r>
          </w:p>
        </w:tc>
        <w:tc>
          <w:tcPr>
            <w:tcW w:w="5534" w:type="dxa"/>
          </w:tcPr>
          <w:p w:rsidR="00F14C32" w:rsidRPr="00414308" w:rsidRDefault="00F14C32" w:rsidP="00414308">
            <w:pPr>
              <w:jc w:val="both"/>
              <w:rPr>
                <w:rFonts w:asciiTheme="majorHAnsi" w:hAnsiTheme="majorHAnsi"/>
                <w:sz w:val="22"/>
                <w:szCs w:val="22"/>
              </w:rPr>
            </w:pPr>
            <w:r w:rsidRPr="00414308">
              <w:rPr>
                <w:rFonts w:asciiTheme="majorHAnsi" w:hAnsiTheme="majorHAnsi"/>
                <w:sz w:val="22"/>
                <w:szCs w:val="22"/>
              </w:rPr>
              <w:t>EH10 5DT</w:t>
            </w:r>
          </w:p>
        </w:tc>
      </w:tr>
      <w:tr w:rsidR="00F14C32" w:rsidRPr="00414308">
        <w:trPr>
          <w:jc w:val="center"/>
        </w:trPr>
        <w:tc>
          <w:tcPr>
            <w:tcW w:w="4011" w:type="dxa"/>
          </w:tcPr>
          <w:p w:rsidR="00F14C32" w:rsidRPr="00414308" w:rsidRDefault="00F14C32" w:rsidP="00414308">
            <w:pPr>
              <w:rPr>
                <w:rFonts w:asciiTheme="majorHAnsi" w:hAnsiTheme="majorHAnsi"/>
                <w:sz w:val="22"/>
                <w:szCs w:val="22"/>
              </w:rPr>
            </w:pPr>
            <w:r w:rsidRPr="00414308">
              <w:rPr>
                <w:rFonts w:asciiTheme="majorHAnsi" w:hAnsiTheme="majorHAnsi"/>
                <w:sz w:val="22"/>
                <w:szCs w:val="22"/>
              </w:rPr>
              <w:t>Country:</w:t>
            </w:r>
          </w:p>
        </w:tc>
        <w:tc>
          <w:tcPr>
            <w:tcW w:w="5534" w:type="dxa"/>
          </w:tcPr>
          <w:p w:rsidR="00F14C32" w:rsidRPr="00414308" w:rsidRDefault="00F14C32" w:rsidP="00414308">
            <w:pPr>
              <w:jc w:val="both"/>
              <w:rPr>
                <w:rFonts w:asciiTheme="majorHAnsi" w:hAnsiTheme="majorHAnsi"/>
                <w:sz w:val="22"/>
                <w:szCs w:val="22"/>
              </w:rPr>
            </w:pPr>
            <w:r w:rsidRPr="00414308">
              <w:rPr>
                <w:rFonts w:asciiTheme="majorHAnsi" w:hAnsiTheme="majorHAnsi"/>
                <w:sz w:val="22"/>
                <w:szCs w:val="22"/>
              </w:rPr>
              <w:t>Midlothian</w:t>
            </w:r>
          </w:p>
        </w:tc>
      </w:tr>
      <w:tr w:rsidR="00F14C32" w:rsidRPr="00414308">
        <w:trPr>
          <w:jc w:val="center"/>
        </w:trPr>
        <w:tc>
          <w:tcPr>
            <w:tcW w:w="4011" w:type="dxa"/>
          </w:tcPr>
          <w:p w:rsidR="00F14C32" w:rsidRPr="00414308" w:rsidRDefault="00F14C32" w:rsidP="00414308">
            <w:pPr>
              <w:rPr>
                <w:rFonts w:asciiTheme="majorHAnsi" w:hAnsiTheme="majorHAnsi"/>
                <w:sz w:val="22"/>
                <w:szCs w:val="22"/>
              </w:rPr>
            </w:pPr>
            <w:r w:rsidRPr="00414308">
              <w:rPr>
                <w:rFonts w:asciiTheme="majorHAnsi" w:hAnsiTheme="majorHAnsi"/>
                <w:sz w:val="22"/>
                <w:szCs w:val="22"/>
              </w:rPr>
              <w:t>Telephone Number (Inc. Country Code):</w:t>
            </w:r>
          </w:p>
        </w:tc>
        <w:tc>
          <w:tcPr>
            <w:tcW w:w="5534" w:type="dxa"/>
          </w:tcPr>
          <w:p w:rsidR="00F14C32" w:rsidRPr="00414308" w:rsidRDefault="00F52B2B" w:rsidP="00B075B5">
            <w:pPr>
              <w:jc w:val="both"/>
              <w:rPr>
                <w:rFonts w:asciiTheme="majorHAnsi" w:hAnsiTheme="majorHAnsi"/>
                <w:sz w:val="22"/>
                <w:szCs w:val="22"/>
              </w:rPr>
            </w:pPr>
            <w:r>
              <w:rPr>
                <w:rFonts w:asciiTheme="majorHAnsi" w:hAnsiTheme="majorHAnsi"/>
                <w:sz w:val="22"/>
                <w:szCs w:val="22"/>
              </w:rPr>
              <w:t xml:space="preserve">0131 455 </w:t>
            </w:r>
            <w:r w:rsidR="00B075B5">
              <w:rPr>
                <w:rFonts w:asciiTheme="majorHAnsi" w:hAnsiTheme="majorHAnsi"/>
                <w:sz w:val="22"/>
                <w:szCs w:val="22"/>
              </w:rPr>
              <w:t>2787</w:t>
            </w:r>
          </w:p>
        </w:tc>
      </w:tr>
      <w:tr w:rsidR="00F14C32" w:rsidRPr="00414308">
        <w:trPr>
          <w:jc w:val="center"/>
        </w:trPr>
        <w:tc>
          <w:tcPr>
            <w:tcW w:w="4011" w:type="dxa"/>
          </w:tcPr>
          <w:p w:rsidR="00F14C32" w:rsidRPr="00414308" w:rsidRDefault="00F14C32" w:rsidP="00414308">
            <w:pPr>
              <w:rPr>
                <w:rFonts w:asciiTheme="majorHAnsi" w:hAnsiTheme="majorHAnsi"/>
                <w:sz w:val="22"/>
                <w:szCs w:val="22"/>
              </w:rPr>
            </w:pPr>
            <w:r w:rsidRPr="00414308">
              <w:rPr>
                <w:rFonts w:asciiTheme="majorHAnsi" w:hAnsiTheme="majorHAnsi"/>
                <w:sz w:val="22"/>
                <w:szCs w:val="22"/>
              </w:rPr>
              <w:t>Email address:</w:t>
            </w:r>
          </w:p>
        </w:tc>
        <w:tc>
          <w:tcPr>
            <w:tcW w:w="5534" w:type="dxa"/>
          </w:tcPr>
          <w:p w:rsidR="00F14C32" w:rsidRPr="00414308" w:rsidRDefault="00534D43" w:rsidP="00414308">
            <w:pPr>
              <w:jc w:val="both"/>
              <w:rPr>
                <w:rFonts w:asciiTheme="majorHAnsi" w:hAnsiTheme="majorHAnsi"/>
                <w:sz w:val="22"/>
                <w:szCs w:val="22"/>
              </w:rPr>
            </w:pPr>
            <w:hyperlink r:id="rId8" w:history="1">
              <w:r w:rsidR="0049265D" w:rsidRPr="005655D5">
                <w:rPr>
                  <w:rStyle w:val="Hyperlink"/>
                  <w:rFonts w:asciiTheme="majorHAnsi" w:hAnsiTheme="majorHAnsi"/>
                  <w:sz w:val="22"/>
                  <w:szCs w:val="22"/>
                </w:rPr>
                <w:t>l.killick@napier.ac.uk</w:t>
              </w:r>
            </w:hyperlink>
          </w:p>
        </w:tc>
      </w:tr>
      <w:tr w:rsidR="0049265D" w:rsidRPr="00414308">
        <w:trPr>
          <w:jc w:val="center"/>
        </w:trPr>
        <w:tc>
          <w:tcPr>
            <w:tcW w:w="4011" w:type="dxa"/>
          </w:tcPr>
          <w:p w:rsidR="0049265D" w:rsidRPr="00414308" w:rsidRDefault="0049265D" w:rsidP="00414308">
            <w:pPr>
              <w:rPr>
                <w:rFonts w:asciiTheme="majorHAnsi" w:hAnsiTheme="majorHAnsi"/>
                <w:sz w:val="22"/>
                <w:szCs w:val="22"/>
              </w:rPr>
            </w:pPr>
            <w:r>
              <w:rPr>
                <w:rFonts w:asciiTheme="majorHAnsi" w:hAnsiTheme="majorHAnsi"/>
                <w:sz w:val="22"/>
                <w:szCs w:val="22"/>
              </w:rPr>
              <w:t>Co-Authors</w:t>
            </w:r>
          </w:p>
        </w:tc>
        <w:tc>
          <w:tcPr>
            <w:tcW w:w="5534" w:type="dxa"/>
          </w:tcPr>
          <w:p w:rsidR="0049265D" w:rsidRDefault="0049265D" w:rsidP="00414308">
            <w:pPr>
              <w:jc w:val="both"/>
              <w:rPr>
                <w:rFonts w:asciiTheme="majorHAnsi" w:hAnsiTheme="majorHAnsi"/>
                <w:sz w:val="22"/>
                <w:szCs w:val="22"/>
              </w:rPr>
            </w:pPr>
            <w:r w:rsidRPr="00414308">
              <w:rPr>
                <w:rFonts w:asciiTheme="majorHAnsi" w:hAnsiTheme="majorHAnsi"/>
                <w:sz w:val="22"/>
                <w:szCs w:val="22"/>
              </w:rPr>
              <w:t>Prof Alistair</w:t>
            </w:r>
            <w:r w:rsidR="00290458">
              <w:rPr>
                <w:rFonts w:asciiTheme="majorHAnsi" w:hAnsiTheme="majorHAnsi"/>
                <w:sz w:val="22"/>
                <w:szCs w:val="22"/>
              </w:rPr>
              <w:t xml:space="preserve"> S</w:t>
            </w:r>
            <w:r w:rsidRPr="00414308">
              <w:rPr>
                <w:rFonts w:asciiTheme="majorHAnsi" w:hAnsiTheme="majorHAnsi"/>
                <w:sz w:val="22"/>
                <w:szCs w:val="22"/>
              </w:rPr>
              <w:t xml:space="preserve"> Duff, </w:t>
            </w:r>
            <w:r>
              <w:rPr>
                <w:rFonts w:asciiTheme="majorHAnsi" w:hAnsiTheme="majorHAnsi"/>
                <w:sz w:val="22"/>
                <w:szCs w:val="22"/>
              </w:rPr>
              <w:t xml:space="preserve">Prof Mark Deakin, </w:t>
            </w:r>
            <w:r w:rsidRPr="00414308">
              <w:rPr>
                <w:rFonts w:asciiTheme="majorHAnsi" w:hAnsiTheme="majorHAnsi"/>
                <w:sz w:val="22"/>
                <w:szCs w:val="22"/>
              </w:rPr>
              <w:t>Prof Hazel Hall</w:t>
            </w:r>
          </w:p>
        </w:tc>
      </w:tr>
    </w:tbl>
    <w:p w:rsidR="00F14C32" w:rsidRPr="00414308" w:rsidRDefault="00F14C32" w:rsidP="00414308">
      <w:pPr>
        <w:rPr>
          <w:rFonts w:asciiTheme="majorHAnsi" w:hAnsiTheme="majorHAnsi"/>
          <w:sz w:val="22"/>
          <w:szCs w:val="22"/>
        </w:rPr>
      </w:pPr>
    </w:p>
    <w:p w:rsidR="00F14C32" w:rsidRPr="00414308" w:rsidRDefault="00F14C32" w:rsidP="00414308">
      <w:pPr>
        <w:rPr>
          <w:rFonts w:asciiTheme="majorHAnsi" w:hAnsiTheme="majorHAnsi"/>
          <w:sz w:val="22"/>
          <w:szCs w:val="22"/>
        </w:rPr>
      </w:pPr>
      <w:r w:rsidRPr="00414308">
        <w:rPr>
          <w:rFonts w:asciiTheme="majorHAnsi" w:hAnsiTheme="majorHAnsi"/>
          <w:sz w:val="22"/>
          <w:szCs w:val="22"/>
        </w:rPr>
        <w:t xml:space="preserve">Second Speaker </w:t>
      </w:r>
    </w:p>
    <w:p w:rsidR="00F14C32" w:rsidRPr="00414308" w:rsidRDefault="00F14C32" w:rsidP="00414308">
      <w:pPr>
        <w:rPr>
          <w:rFonts w:asciiTheme="majorHAnsi" w:hAnsiTheme="maj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011"/>
        <w:gridCol w:w="5534"/>
      </w:tblGrid>
      <w:tr w:rsidR="00F14C32" w:rsidRPr="00414308">
        <w:trPr>
          <w:jc w:val="center"/>
        </w:trPr>
        <w:tc>
          <w:tcPr>
            <w:tcW w:w="4011" w:type="dxa"/>
          </w:tcPr>
          <w:p w:rsidR="00F14C32" w:rsidRPr="00414308" w:rsidRDefault="00F14C32" w:rsidP="00414308">
            <w:pPr>
              <w:rPr>
                <w:rFonts w:asciiTheme="majorHAnsi" w:hAnsiTheme="majorHAnsi"/>
                <w:sz w:val="22"/>
                <w:szCs w:val="22"/>
              </w:rPr>
            </w:pPr>
            <w:r w:rsidRPr="00414308">
              <w:rPr>
                <w:rFonts w:asciiTheme="majorHAnsi" w:hAnsiTheme="majorHAnsi"/>
                <w:sz w:val="22"/>
                <w:szCs w:val="22"/>
              </w:rPr>
              <w:t>Title:</w:t>
            </w:r>
          </w:p>
        </w:tc>
        <w:tc>
          <w:tcPr>
            <w:tcW w:w="5534" w:type="dxa"/>
          </w:tcPr>
          <w:p w:rsidR="00F14C32" w:rsidRPr="00414308" w:rsidRDefault="00F14C32" w:rsidP="00414308">
            <w:pPr>
              <w:jc w:val="both"/>
              <w:rPr>
                <w:rFonts w:asciiTheme="majorHAnsi" w:hAnsiTheme="majorHAnsi"/>
                <w:sz w:val="22"/>
                <w:szCs w:val="22"/>
              </w:rPr>
            </w:pPr>
          </w:p>
        </w:tc>
      </w:tr>
      <w:tr w:rsidR="00F14C32" w:rsidRPr="00414308">
        <w:trPr>
          <w:jc w:val="center"/>
        </w:trPr>
        <w:tc>
          <w:tcPr>
            <w:tcW w:w="4011" w:type="dxa"/>
          </w:tcPr>
          <w:p w:rsidR="00F14C32" w:rsidRPr="00414308" w:rsidRDefault="00F14C32" w:rsidP="00414308">
            <w:pPr>
              <w:rPr>
                <w:rFonts w:asciiTheme="majorHAnsi" w:hAnsiTheme="majorHAnsi"/>
                <w:sz w:val="22"/>
                <w:szCs w:val="22"/>
              </w:rPr>
            </w:pPr>
            <w:r w:rsidRPr="00414308">
              <w:rPr>
                <w:rFonts w:asciiTheme="majorHAnsi" w:hAnsiTheme="majorHAnsi"/>
                <w:sz w:val="22"/>
                <w:szCs w:val="22"/>
              </w:rPr>
              <w:t>First Name:</w:t>
            </w:r>
          </w:p>
        </w:tc>
        <w:tc>
          <w:tcPr>
            <w:tcW w:w="5534" w:type="dxa"/>
          </w:tcPr>
          <w:p w:rsidR="00F14C32" w:rsidRPr="00414308" w:rsidRDefault="00F14C32" w:rsidP="00414308">
            <w:pPr>
              <w:jc w:val="both"/>
              <w:rPr>
                <w:rFonts w:asciiTheme="majorHAnsi" w:hAnsiTheme="majorHAnsi"/>
                <w:sz w:val="22"/>
                <w:szCs w:val="22"/>
              </w:rPr>
            </w:pPr>
          </w:p>
        </w:tc>
      </w:tr>
      <w:tr w:rsidR="00F14C32" w:rsidRPr="00414308">
        <w:trPr>
          <w:jc w:val="center"/>
        </w:trPr>
        <w:tc>
          <w:tcPr>
            <w:tcW w:w="4011" w:type="dxa"/>
          </w:tcPr>
          <w:p w:rsidR="00F14C32" w:rsidRPr="00414308" w:rsidRDefault="00F14C32" w:rsidP="00414308">
            <w:pPr>
              <w:rPr>
                <w:rFonts w:asciiTheme="majorHAnsi" w:hAnsiTheme="majorHAnsi"/>
                <w:sz w:val="22"/>
                <w:szCs w:val="22"/>
              </w:rPr>
            </w:pPr>
            <w:r w:rsidRPr="00414308">
              <w:rPr>
                <w:rFonts w:asciiTheme="majorHAnsi" w:hAnsiTheme="majorHAnsi"/>
                <w:sz w:val="22"/>
                <w:szCs w:val="22"/>
              </w:rPr>
              <w:t>Surname/Family Name:</w:t>
            </w:r>
          </w:p>
        </w:tc>
        <w:tc>
          <w:tcPr>
            <w:tcW w:w="5534" w:type="dxa"/>
          </w:tcPr>
          <w:p w:rsidR="00F14C32" w:rsidRPr="00414308" w:rsidRDefault="00F14C32" w:rsidP="00414308">
            <w:pPr>
              <w:jc w:val="both"/>
              <w:rPr>
                <w:rFonts w:asciiTheme="majorHAnsi" w:hAnsiTheme="majorHAnsi"/>
                <w:sz w:val="22"/>
                <w:szCs w:val="22"/>
              </w:rPr>
            </w:pPr>
          </w:p>
        </w:tc>
      </w:tr>
      <w:tr w:rsidR="00F14C32" w:rsidRPr="00414308">
        <w:trPr>
          <w:jc w:val="center"/>
        </w:trPr>
        <w:tc>
          <w:tcPr>
            <w:tcW w:w="4011" w:type="dxa"/>
          </w:tcPr>
          <w:p w:rsidR="00F14C32" w:rsidRPr="00414308" w:rsidRDefault="00F14C32" w:rsidP="00414308">
            <w:pPr>
              <w:rPr>
                <w:rFonts w:asciiTheme="majorHAnsi" w:hAnsiTheme="majorHAnsi"/>
                <w:sz w:val="22"/>
                <w:szCs w:val="22"/>
              </w:rPr>
            </w:pPr>
            <w:r w:rsidRPr="00414308">
              <w:rPr>
                <w:rFonts w:asciiTheme="majorHAnsi" w:hAnsiTheme="majorHAnsi"/>
                <w:sz w:val="22"/>
                <w:szCs w:val="22"/>
              </w:rPr>
              <w:t>Institution:</w:t>
            </w:r>
          </w:p>
        </w:tc>
        <w:tc>
          <w:tcPr>
            <w:tcW w:w="5534" w:type="dxa"/>
          </w:tcPr>
          <w:p w:rsidR="00F14C32" w:rsidRPr="00414308" w:rsidRDefault="00F14C32" w:rsidP="00414308">
            <w:pPr>
              <w:jc w:val="both"/>
              <w:rPr>
                <w:rFonts w:asciiTheme="majorHAnsi" w:hAnsiTheme="majorHAnsi"/>
                <w:sz w:val="22"/>
                <w:szCs w:val="22"/>
              </w:rPr>
            </w:pPr>
          </w:p>
        </w:tc>
      </w:tr>
      <w:tr w:rsidR="00F14C32" w:rsidRPr="00414308">
        <w:trPr>
          <w:jc w:val="center"/>
        </w:trPr>
        <w:tc>
          <w:tcPr>
            <w:tcW w:w="4011" w:type="dxa"/>
          </w:tcPr>
          <w:p w:rsidR="00F14C32" w:rsidRPr="00414308" w:rsidRDefault="00F14C32" w:rsidP="00414308">
            <w:pPr>
              <w:rPr>
                <w:rFonts w:asciiTheme="majorHAnsi" w:hAnsiTheme="majorHAnsi"/>
                <w:sz w:val="22"/>
                <w:szCs w:val="22"/>
              </w:rPr>
            </w:pPr>
            <w:r w:rsidRPr="00414308">
              <w:rPr>
                <w:rFonts w:asciiTheme="majorHAnsi" w:hAnsiTheme="majorHAnsi"/>
                <w:sz w:val="22"/>
                <w:szCs w:val="22"/>
              </w:rPr>
              <w:t>Job Title:</w:t>
            </w:r>
          </w:p>
        </w:tc>
        <w:tc>
          <w:tcPr>
            <w:tcW w:w="5534" w:type="dxa"/>
          </w:tcPr>
          <w:p w:rsidR="00F14C32" w:rsidRPr="00414308" w:rsidRDefault="00F14C32" w:rsidP="00414308">
            <w:pPr>
              <w:jc w:val="both"/>
              <w:rPr>
                <w:rFonts w:asciiTheme="majorHAnsi" w:hAnsiTheme="majorHAnsi"/>
                <w:sz w:val="22"/>
                <w:szCs w:val="22"/>
              </w:rPr>
            </w:pPr>
          </w:p>
        </w:tc>
      </w:tr>
      <w:tr w:rsidR="00F14C32" w:rsidRPr="00414308">
        <w:trPr>
          <w:jc w:val="center"/>
        </w:trPr>
        <w:tc>
          <w:tcPr>
            <w:tcW w:w="4011" w:type="dxa"/>
          </w:tcPr>
          <w:p w:rsidR="00F14C32" w:rsidRPr="00414308" w:rsidRDefault="00F14C32" w:rsidP="00414308">
            <w:pPr>
              <w:rPr>
                <w:rFonts w:asciiTheme="majorHAnsi" w:hAnsiTheme="majorHAnsi"/>
                <w:sz w:val="22"/>
                <w:szCs w:val="22"/>
              </w:rPr>
            </w:pPr>
            <w:r w:rsidRPr="00414308">
              <w:rPr>
                <w:rFonts w:asciiTheme="majorHAnsi" w:hAnsiTheme="majorHAnsi"/>
                <w:sz w:val="22"/>
                <w:szCs w:val="22"/>
              </w:rPr>
              <w:t>Email address:</w:t>
            </w:r>
          </w:p>
        </w:tc>
        <w:tc>
          <w:tcPr>
            <w:tcW w:w="5534" w:type="dxa"/>
          </w:tcPr>
          <w:p w:rsidR="00F14C32" w:rsidRPr="00414308" w:rsidRDefault="00F14C32" w:rsidP="00414308">
            <w:pPr>
              <w:jc w:val="both"/>
              <w:rPr>
                <w:rFonts w:asciiTheme="majorHAnsi" w:hAnsiTheme="majorHAnsi"/>
                <w:sz w:val="22"/>
                <w:szCs w:val="22"/>
              </w:rPr>
            </w:pPr>
          </w:p>
        </w:tc>
      </w:tr>
    </w:tbl>
    <w:p w:rsidR="00F14C32" w:rsidRPr="00414308" w:rsidRDefault="00F14C32" w:rsidP="00414308">
      <w:pPr>
        <w:rPr>
          <w:rFonts w:asciiTheme="majorHAnsi" w:hAnsiTheme="majorHAnsi"/>
          <w:sz w:val="22"/>
          <w:szCs w:val="22"/>
        </w:rPr>
      </w:pPr>
    </w:p>
    <w:p w:rsidR="00F14C32" w:rsidRPr="00414308" w:rsidRDefault="00F14C32" w:rsidP="00414308">
      <w:pPr>
        <w:rPr>
          <w:rFonts w:asciiTheme="majorHAnsi" w:hAnsiTheme="majorHAnsi"/>
          <w:sz w:val="22"/>
          <w:szCs w:val="22"/>
        </w:rPr>
      </w:pPr>
      <w:r w:rsidRPr="00414308">
        <w:rPr>
          <w:rFonts w:asciiTheme="majorHAnsi" w:hAnsiTheme="majorHAnsi"/>
          <w:sz w:val="22"/>
          <w:szCs w:val="22"/>
        </w:rPr>
        <w:t>Submission Details</w:t>
      </w:r>
    </w:p>
    <w:p w:rsidR="00F14C32" w:rsidRPr="00414308" w:rsidRDefault="00F14C32" w:rsidP="00414308">
      <w:pPr>
        <w:rPr>
          <w:rFonts w:asciiTheme="majorHAnsi" w:hAnsiTheme="maj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296"/>
        <w:gridCol w:w="7320"/>
        <w:gridCol w:w="2146"/>
      </w:tblGrid>
      <w:tr w:rsidR="00F14C32" w:rsidRPr="00414308">
        <w:trPr>
          <w:jc w:val="center"/>
        </w:trPr>
        <w:tc>
          <w:tcPr>
            <w:tcW w:w="3374" w:type="dxa"/>
          </w:tcPr>
          <w:p w:rsidR="00F14C32" w:rsidRPr="00414308" w:rsidRDefault="00F14C32" w:rsidP="00414308">
            <w:pPr>
              <w:rPr>
                <w:rFonts w:asciiTheme="majorHAnsi" w:hAnsiTheme="majorHAnsi"/>
                <w:sz w:val="22"/>
                <w:szCs w:val="22"/>
              </w:rPr>
            </w:pPr>
            <w:r w:rsidRPr="00414308">
              <w:rPr>
                <w:rFonts w:asciiTheme="majorHAnsi" w:hAnsiTheme="majorHAnsi"/>
                <w:sz w:val="22"/>
                <w:szCs w:val="22"/>
              </w:rPr>
              <w:t>Title of Abstract</w:t>
            </w:r>
          </w:p>
        </w:tc>
        <w:tc>
          <w:tcPr>
            <w:tcW w:w="6171" w:type="dxa"/>
            <w:gridSpan w:val="2"/>
          </w:tcPr>
          <w:p w:rsidR="00F14C32" w:rsidRPr="00B84EEF" w:rsidRDefault="0001747D" w:rsidP="0001747D">
            <w:pPr>
              <w:rPr>
                <w:rFonts w:asciiTheme="majorHAnsi" w:hAnsiTheme="majorHAnsi"/>
                <w:b/>
                <w:sz w:val="22"/>
                <w:szCs w:val="22"/>
              </w:rPr>
            </w:pPr>
            <w:r>
              <w:rPr>
                <w:rFonts w:ascii="Calibri" w:hAnsi="Calibri"/>
                <w:color w:val="000000"/>
                <w:sz w:val="21"/>
                <w:szCs w:val="21"/>
              </w:rPr>
              <w:t>Undermining our data – implications for trust in the population census</w:t>
            </w:r>
          </w:p>
        </w:tc>
      </w:tr>
      <w:tr w:rsidR="00F14C32" w:rsidRPr="00414308">
        <w:trPr>
          <w:jc w:val="center"/>
        </w:trPr>
        <w:tc>
          <w:tcPr>
            <w:tcW w:w="3374" w:type="dxa"/>
            <w:vMerge w:val="restart"/>
          </w:tcPr>
          <w:p w:rsidR="00F14C32" w:rsidRPr="00414308" w:rsidRDefault="00F14C32" w:rsidP="00414308">
            <w:pPr>
              <w:rPr>
                <w:rFonts w:asciiTheme="majorHAnsi" w:hAnsiTheme="majorHAnsi"/>
                <w:sz w:val="22"/>
                <w:szCs w:val="22"/>
              </w:rPr>
            </w:pPr>
            <w:r w:rsidRPr="00414308">
              <w:rPr>
                <w:rFonts w:asciiTheme="majorHAnsi" w:hAnsiTheme="majorHAnsi"/>
                <w:sz w:val="22"/>
                <w:szCs w:val="22"/>
              </w:rPr>
              <w:t>Type of Submission (please select ONE):</w:t>
            </w:r>
          </w:p>
        </w:tc>
        <w:tc>
          <w:tcPr>
            <w:tcW w:w="4680" w:type="dxa"/>
          </w:tcPr>
          <w:p w:rsidR="00F14C32" w:rsidRPr="00414308" w:rsidRDefault="00F14C32" w:rsidP="00414308">
            <w:pPr>
              <w:jc w:val="both"/>
              <w:rPr>
                <w:rFonts w:asciiTheme="majorHAnsi" w:hAnsiTheme="majorHAnsi"/>
                <w:sz w:val="22"/>
                <w:szCs w:val="22"/>
              </w:rPr>
            </w:pPr>
            <w:r w:rsidRPr="00414308">
              <w:rPr>
                <w:rFonts w:asciiTheme="majorHAnsi" w:hAnsiTheme="majorHAnsi"/>
                <w:sz w:val="22"/>
                <w:szCs w:val="22"/>
              </w:rPr>
              <w:t>Full Paper</w:t>
            </w:r>
          </w:p>
        </w:tc>
        <w:tc>
          <w:tcPr>
            <w:tcW w:w="1491" w:type="dxa"/>
          </w:tcPr>
          <w:p w:rsidR="00F14C32" w:rsidRPr="00414308" w:rsidRDefault="008A71DF" w:rsidP="00414308">
            <w:pPr>
              <w:jc w:val="both"/>
              <w:rPr>
                <w:rFonts w:asciiTheme="majorHAnsi" w:hAnsiTheme="majorHAnsi"/>
                <w:sz w:val="22"/>
                <w:szCs w:val="22"/>
              </w:rPr>
            </w:pPr>
            <w:r>
              <w:rPr>
                <w:rFonts w:asciiTheme="majorHAnsi" w:hAnsiTheme="majorHAnsi"/>
                <w:sz w:val="22"/>
                <w:szCs w:val="22"/>
              </w:rPr>
              <w:t>X</w:t>
            </w:r>
          </w:p>
        </w:tc>
      </w:tr>
      <w:tr w:rsidR="00F14C32" w:rsidRPr="00414308">
        <w:trPr>
          <w:jc w:val="center"/>
        </w:trPr>
        <w:tc>
          <w:tcPr>
            <w:tcW w:w="3374" w:type="dxa"/>
            <w:vMerge/>
          </w:tcPr>
          <w:p w:rsidR="00F14C32" w:rsidRPr="00414308" w:rsidRDefault="00F14C32" w:rsidP="00414308">
            <w:pPr>
              <w:rPr>
                <w:rFonts w:asciiTheme="majorHAnsi" w:hAnsiTheme="majorHAnsi"/>
                <w:sz w:val="22"/>
                <w:szCs w:val="22"/>
              </w:rPr>
            </w:pPr>
          </w:p>
        </w:tc>
        <w:tc>
          <w:tcPr>
            <w:tcW w:w="4680" w:type="dxa"/>
          </w:tcPr>
          <w:p w:rsidR="00F14C32" w:rsidRPr="00414308" w:rsidRDefault="00F14C32" w:rsidP="00414308">
            <w:pPr>
              <w:jc w:val="both"/>
              <w:rPr>
                <w:rFonts w:asciiTheme="majorHAnsi" w:hAnsiTheme="majorHAnsi"/>
                <w:sz w:val="22"/>
                <w:szCs w:val="22"/>
              </w:rPr>
            </w:pPr>
            <w:r w:rsidRPr="00414308">
              <w:rPr>
                <w:rFonts w:asciiTheme="majorHAnsi" w:hAnsiTheme="majorHAnsi"/>
                <w:sz w:val="22"/>
                <w:szCs w:val="22"/>
              </w:rPr>
              <w:t>Short Paper</w:t>
            </w:r>
          </w:p>
        </w:tc>
        <w:tc>
          <w:tcPr>
            <w:tcW w:w="1491" w:type="dxa"/>
          </w:tcPr>
          <w:p w:rsidR="00F14C32" w:rsidRPr="00414308" w:rsidRDefault="00F14C32" w:rsidP="00414308">
            <w:pPr>
              <w:jc w:val="both"/>
              <w:rPr>
                <w:rFonts w:asciiTheme="majorHAnsi" w:hAnsiTheme="majorHAnsi"/>
                <w:sz w:val="22"/>
                <w:szCs w:val="22"/>
              </w:rPr>
            </w:pPr>
          </w:p>
        </w:tc>
      </w:tr>
      <w:tr w:rsidR="00F14C32" w:rsidRPr="00414308">
        <w:trPr>
          <w:jc w:val="center"/>
        </w:trPr>
        <w:tc>
          <w:tcPr>
            <w:tcW w:w="3374" w:type="dxa"/>
            <w:vMerge/>
          </w:tcPr>
          <w:p w:rsidR="00F14C32" w:rsidRPr="00414308" w:rsidRDefault="00F14C32" w:rsidP="00414308">
            <w:pPr>
              <w:rPr>
                <w:rFonts w:asciiTheme="majorHAnsi" w:hAnsiTheme="majorHAnsi"/>
                <w:sz w:val="22"/>
                <w:szCs w:val="22"/>
              </w:rPr>
            </w:pPr>
          </w:p>
        </w:tc>
        <w:tc>
          <w:tcPr>
            <w:tcW w:w="4680" w:type="dxa"/>
          </w:tcPr>
          <w:p w:rsidR="00F14C32" w:rsidRPr="00414308" w:rsidRDefault="00F14C32" w:rsidP="00414308">
            <w:pPr>
              <w:jc w:val="both"/>
              <w:rPr>
                <w:rFonts w:asciiTheme="majorHAnsi" w:hAnsiTheme="majorHAnsi"/>
                <w:sz w:val="22"/>
                <w:szCs w:val="22"/>
              </w:rPr>
            </w:pPr>
            <w:r w:rsidRPr="00414308">
              <w:rPr>
                <w:rFonts w:asciiTheme="majorHAnsi" w:hAnsiTheme="majorHAnsi"/>
                <w:sz w:val="22"/>
                <w:szCs w:val="22"/>
              </w:rPr>
              <w:t>Round Table Discussion</w:t>
            </w:r>
          </w:p>
        </w:tc>
        <w:tc>
          <w:tcPr>
            <w:tcW w:w="1491" w:type="dxa"/>
          </w:tcPr>
          <w:p w:rsidR="00F14C32" w:rsidRPr="00414308" w:rsidRDefault="00F14C32" w:rsidP="00414308">
            <w:pPr>
              <w:jc w:val="both"/>
              <w:rPr>
                <w:rFonts w:asciiTheme="majorHAnsi" w:hAnsiTheme="majorHAnsi"/>
                <w:sz w:val="22"/>
                <w:szCs w:val="22"/>
              </w:rPr>
            </w:pPr>
          </w:p>
        </w:tc>
      </w:tr>
      <w:tr w:rsidR="00F14C32" w:rsidRPr="00414308">
        <w:trPr>
          <w:jc w:val="center"/>
        </w:trPr>
        <w:tc>
          <w:tcPr>
            <w:tcW w:w="3374" w:type="dxa"/>
            <w:vMerge w:val="restart"/>
          </w:tcPr>
          <w:p w:rsidR="00F14C32" w:rsidRPr="00414308" w:rsidRDefault="00F14C32" w:rsidP="00414308">
            <w:pPr>
              <w:rPr>
                <w:rFonts w:asciiTheme="majorHAnsi" w:hAnsiTheme="majorHAnsi"/>
                <w:sz w:val="22"/>
                <w:szCs w:val="22"/>
              </w:rPr>
            </w:pPr>
            <w:r w:rsidRPr="00414308">
              <w:rPr>
                <w:rFonts w:asciiTheme="majorHAnsi" w:hAnsiTheme="majorHAnsi"/>
                <w:sz w:val="22"/>
                <w:szCs w:val="22"/>
              </w:rPr>
              <w:t>Themes (please select all that apply):</w:t>
            </w:r>
          </w:p>
        </w:tc>
        <w:tc>
          <w:tcPr>
            <w:tcW w:w="4680" w:type="dxa"/>
          </w:tcPr>
          <w:p w:rsidR="00F14C32" w:rsidRPr="00414308" w:rsidRDefault="00F14C32" w:rsidP="00414308">
            <w:pPr>
              <w:jc w:val="both"/>
              <w:rPr>
                <w:rFonts w:asciiTheme="majorHAnsi" w:hAnsiTheme="majorHAnsi"/>
                <w:sz w:val="22"/>
                <w:szCs w:val="22"/>
              </w:rPr>
            </w:pPr>
            <w:r w:rsidRPr="00414308">
              <w:rPr>
                <w:rFonts w:asciiTheme="majorHAnsi" w:hAnsiTheme="majorHAnsi"/>
                <w:sz w:val="22"/>
                <w:szCs w:val="22"/>
              </w:rPr>
              <w:t>Information Literacies</w:t>
            </w:r>
          </w:p>
        </w:tc>
        <w:tc>
          <w:tcPr>
            <w:tcW w:w="1491" w:type="dxa"/>
          </w:tcPr>
          <w:p w:rsidR="00F14C32" w:rsidRPr="00414308" w:rsidRDefault="00F14C32" w:rsidP="00414308">
            <w:pPr>
              <w:jc w:val="both"/>
              <w:rPr>
                <w:rFonts w:asciiTheme="majorHAnsi" w:hAnsiTheme="majorHAnsi"/>
                <w:color w:val="FF0000"/>
                <w:sz w:val="22"/>
                <w:szCs w:val="22"/>
              </w:rPr>
            </w:pPr>
          </w:p>
        </w:tc>
      </w:tr>
      <w:tr w:rsidR="00F14C32" w:rsidRPr="00414308">
        <w:trPr>
          <w:jc w:val="center"/>
        </w:trPr>
        <w:tc>
          <w:tcPr>
            <w:tcW w:w="3374" w:type="dxa"/>
            <w:vMerge/>
          </w:tcPr>
          <w:p w:rsidR="00F14C32" w:rsidRPr="00414308" w:rsidRDefault="00F14C32" w:rsidP="00414308">
            <w:pPr>
              <w:rPr>
                <w:rFonts w:asciiTheme="majorHAnsi" w:hAnsiTheme="majorHAnsi"/>
                <w:sz w:val="22"/>
                <w:szCs w:val="22"/>
              </w:rPr>
            </w:pPr>
          </w:p>
        </w:tc>
        <w:tc>
          <w:tcPr>
            <w:tcW w:w="4680" w:type="dxa"/>
          </w:tcPr>
          <w:p w:rsidR="00F14C32" w:rsidRPr="00414308" w:rsidRDefault="00F14C32" w:rsidP="00414308">
            <w:pPr>
              <w:jc w:val="both"/>
              <w:rPr>
                <w:rFonts w:asciiTheme="majorHAnsi" w:hAnsiTheme="majorHAnsi"/>
                <w:sz w:val="22"/>
                <w:szCs w:val="22"/>
              </w:rPr>
            </w:pPr>
            <w:r w:rsidRPr="00414308">
              <w:rPr>
                <w:rFonts w:asciiTheme="majorHAnsi" w:hAnsiTheme="majorHAnsi"/>
                <w:sz w:val="22"/>
                <w:szCs w:val="22"/>
              </w:rPr>
              <w:t xml:space="preserve">Information Behaviour  </w:t>
            </w:r>
          </w:p>
        </w:tc>
        <w:tc>
          <w:tcPr>
            <w:tcW w:w="1491" w:type="dxa"/>
          </w:tcPr>
          <w:p w:rsidR="00F14C32" w:rsidRPr="00414308" w:rsidRDefault="008A71DF" w:rsidP="00414308">
            <w:pPr>
              <w:jc w:val="both"/>
              <w:rPr>
                <w:rFonts w:asciiTheme="majorHAnsi" w:hAnsiTheme="majorHAnsi"/>
                <w:sz w:val="22"/>
                <w:szCs w:val="22"/>
              </w:rPr>
            </w:pPr>
            <w:r>
              <w:rPr>
                <w:rFonts w:asciiTheme="majorHAnsi" w:hAnsiTheme="majorHAnsi"/>
                <w:sz w:val="22"/>
                <w:szCs w:val="22"/>
              </w:rPr>
              <w:t>X</w:t>
            </w:r>
          </w:p>
        </w:tc>
      </w:tr>
      <w:tr w:rsidR="00F14C32" w:rsidRPr="00414308">
        <w:trPr>
          <w:jc w:val="center"/>
        </w:trPr>
        <w:tc>
          <w:tcPr>
            <w:tcW w:w="3374" w:type="dxa"/>
            <w:vMerge/>
          </w:tcPr>
          <w:p w:rsidR="00F14C32" w:rsidRPr="00414308" w:rsidRDefault="00F14C32" w:rsidP="00414308">
            <w:pPr>
              <w:rPr>
                <w:rFonts w:asciiTheme="majorHAnsi" w:hAnsiTheme="majorHAnsi"/>
                <w:sz w:val="22"/>
                <w:szCs w:val="22"/>
              </w:rPr>
            </w:pPr>
          </w:p>
        </w:tc>
        <w:tc>
          <w:tcPr>
            <w:tcW w:w="4680" w:type="dxa"/>
          </w:tcPr>
          <w:p w:rsidR="00F14C32" w:rsidRPr="00414308" w:rsidRDefault="00F14C32" w:rsidP="00414308">
            <w:pPr>
              <w:jc w:val="both"/>
              <w:rPr>
                <w:rFonts w:asciiTheme="majorHAnsi" w:hAnsiTheme="majorHAnsi"/>
                <w:sz w:val="22"/>
                <w:szCs w:val="22"/>
              </w:rPr>
            </w:pPr>
            <w:r w:rsidRPr="00414308">
              <w:rPr>
                <w:rFonts w:asciiTheme="majorHAnsi" w:hAnsiTheme="majorHAnsi"/>
                <w:sz w:val="22"/>
                <w:szCs w:val="22"/>
              </w:rPr>
              <w:t>Impact</w:t>
            </w:r>
          </w:p>
        </w:tc>
        <w:tc>
          <w:tcPr>
            <w:tcW w:w="1491" w:type="dxa"/>
          </w:tcPr>
          <w:p w:rsidR="00F14C32" w:rsidRPr="00414308" w:rsidRDefault="00566588" w:rsidP="00414308">
            <w:pPr>
              <w:jc w:val="both"/>
              <w:rPr>
                <w:rFonts w:asciiTheme="majorHAnsi" w:hAnsiTheme="majorHAnsi"/>
                <w:sz w:val="22"/>
                <w:szCs w:val="22"/>
              </w:rPr>
            </w:pPr>
            <w:r>
              <w:rPr>
                <w:rFonts w:asciiTheme="majorHAnsi" w:hAnsiTheme="majorHAnsi"/>
                <w:sz w:val="22"/>
                <w:szCs w:val="22"/>
              </w:rPr>
              <w:t>X</w:t>
            </w:r>
          </w:p>
        </w:tc>
      </w:tr>
      <w:tr w:rsidR="00F14C32" w:rsidRPr="00414308">
        <w:trPr>
          <w:jc w:val="center"/>
        </w:trPr>
        <w:tc>
          <w:tcPr>
            <w:tcW w:w="3374" w:type="dxa"/>
            <w:vMerge/>
          </w:tcPr>
          <w:p w:rsidR="00F14C32" w:rsidRPr="00414308" w:rsidRDefault="00F14C32" w:rsidP="00414308">
            <w:pPr>
              <w:rPr>
                <w:rFonts w:asciiTheme="majorHAnsi" w:hAnsiTheme="majorHAnsi"/>
                <w:sz w:val="22"/>
                <w:szCs w:val="22"/>
              </w:rPr>
            </w:pPr>
          </w:p>
        </w:tc>
        <w:tc>
          <w:tcPr>
            <w:tcW w:w="4680" w:type="dxa"/>
          </w:tcPr>
          <w:p w:rsidR="00F14C32" w:rsidRPr="00414308" w:rsidRDefault="00F14C32" w:rsidP="00414308">
            <w:pPr>
              <w:jc w:val="both"/>
              <w:rPr>
                <w:rFonts w:asciiTheme="majorHAnsi" w:hAnsiTheme="majorHAnsi"/>
                <w:sz w:val="22"/>
                <w:szCs w:val="22"/>
              </w:rPr>
            </w:pPr>
            <w:r w:rsidRPr="00414308">
              <w:rPr>
                <w:rFonts w:asciiTheme="majorHAnsi" w:hAnsiTheme="majorHAnsi"/>
                <w:sz w:val="22"/>
                <w:szCs w:val="22"/>
              </w:rPr>
              <w:t>Information as agent of change</w:t>
            </w:r>
          </w:p>
        </w:tc>
        <w:tc>
          <w:tcPr>
            <w:tcW w:w="1491" w:type="dxa"/>
          </w:tcPr>
          <w:p w:rsidR="00F14C32" w:rsidRPr="00414308" w:rsidRDefault="00414308" w:rsidP="00414308">
            <w:pPr>
              <w:jc w:val="both"/>
              <w:rPr>
                <w:rFonts w:asciiTheme="majorHAnsi" w:hAnsiTheme="majorHAnsi"/>
                <w:sz w:val="22"/>
                <w:szCs w:val="22"/>
              </w:rPr>
            </w:pPr>
            <w:r>
              <w:rPr>
                <w:rFonts w:asciiTheme="majorHAnsi" w:hAnsiTheme="majorHAnsi"/>
                <w:sz w:val="22"/>
                <w:szCs w:val="22"/>
              </w:rPr>
              <w:t>X</w:t>
            </w:r>
          </w:p>
        </w:tc>
      </w:tr>
      <w:tr w:rsidR="00F14C32" w:rsidRPr="00414308">
        <w:trPr>
          <w:jc w:val="center"/>
        </w:trPr>
        <w:tc>
          <w:tcPr>
            <w:tcW w:w="3374" w:type="dxa"/>
            <w:vMerge/>
          </w:tcPr>
          <w:p w:rsidR="00F14C32" w:rsidRPr="00414308" w:rsidRDefault="00F14C32" w:rsidP="00414308">
            <w:pPr>
              <w:rPr>
                <w:rFonts w:asciiTheme="majorHAnsi" w:hAnsiTheme="majorHAnsi"/>
                <w:sz w:val="22"/>
                <w:szCs w:val="22"/>
              </w:rPr>
            </w:pPr>
          </w:p>
        </w:tc>
        <w:tc>
          <w:tcPr>
            <w:tcW w:w="4680" w:type="dxa"/>
          </w:tcPr>
          <w:p w:rsidR="00F14C32" w:rsidRPr="00414308" w:rsidRDefault="00F14C32" w:rsidP="00414308">
            <w:pPr>
              <w:jc w:val="both"/>
              <w:rPr>
                <w:rFonts w:asciiTheme="majorHAnsi" w:hAnsiTheme="majorHAnsi"/>
                <w:sz w:val="22"/>
                <w:szCs w:val="22"/>
              </w:rPr>
            </w:pPr>
            <w:r w:rsidRPr="00414308">
              <w:rPr>
                <w:rFonts w:asciiTheme="majorHAnsi" w:hAnsiTheme="majorHAnsi"/>
                <w:sz w:val="22"/>
                <w:szCs w:val="22"/>
              </w:rPr>
              <w:t xml:space="preserve">Methodological Paper  </w:t>
            </w:r>
          </w:p>
        </w:tc>
        <w:tc>
          <w:tcPr>
            <w:tcW w:w="1491" w:type="dxa"/>
          </w:tcPr>
          <w:p w:rsidR="00F14C32" w:rsidRPr="00414308" w:rsidRDefault="00F14C32" w:rsidP="00414308">
            <w:pPr>
              <w:jc w:val="both"/>
              <w:rPr>
                <w:rFonts w:asciiTheme="majorHAnsi" w:hAnsiTheme="majorHAnsi"/>
                <w:color w:val="FF0000"/>
                <w:sz w:val="22"/>
                <w:szCs w:val="22"/>
              </w:rPr>
            </w:pPr>
          </w:p>
        </w:tc>
      </w:tr>
      <w:tr w:rsidR="00F14C32" w:rsidRPr="00414308">
        <w:trPr>
          <w:jc w:val="center"/>
        </w:trPr>
        <w:tc>
          <w:tcPr>
            <w:tcW w:w="3374" w:type="dxa"/>
          </w:tcPr>
          <w:p w:rsidR="00F14C32" w:rsidRPr="00414308" w:rsidRDefault="00F14C32" w:rsidP="00414308">
            <w:pPr>
              <w:rPr>
                <w:rFonts w:asciiTheme="majorHAnsi" w:hAnsiTheme="majorHAnsi"/>
                <w:sz w:val="22"/>
                <w:szCs w:val="22"/>
              </w:rPr>
            </w:pPr>
            <w:r w:rsidRPr="00414308">
              <w:rPr>
                <w:rFonts w:asciiTheme="majorHAnsi" w:hAnsiTheme="majorHAnsi"/>
                <w:sz w:val="22"/>
                <w:szCs w:val="22"/>
              </w:rPr>
              <w:t xml:space="preserve">Abstract (Please check Call for Papers for </w:t>
            </w:r>
            <w:r w:rsidRPr="00414308">
              <w:rPr>
                <w:rFonts w:asciiTheme="majorHAnsi" w:hAnsiTheme="majorHAnsi"/>
                <w:sz w:val="22"/>
                <w:szCs w:val="22"/>
              </w:rPr>
              <w:lastRenderedPageBreak/>
              <w:t>requirements):</w:t>
            </w:r>
          </w:p>
        </w:tc>
        <w:tc>
          <w:tcPr>
            <w:tcW w:w="6171" w:type="dxa"/>
            <w:gridSpan w:val="2"/>
          </w:tcPr>
          <w:p w:rsidR="006621A5" w:rsidRDefault="00B53EF0" w:rsidP="00D22C75">
            <w:pPr>
              <w:jc w:val="both"/>
              <w:rPr>
                <w:rFonts w:asciiTheme="majorHAnsi" w:hAnsiTheme="majorHAnsi"/>
                <w:sz w:val="22"/>
                <w:szCs w:val="22"/>
              </w:rPr>
            </w:pPr>
            <w:r>
              <w:rPr>
                <w:rFonts w:asciiTheme="majorHAnsi" w:hAnsiTheme="majorHAnsi"/>
                <w:sz w:val="22"/>
                <w:szCs w:val="22"/>
              </w:rPr>
              <w:lastRenderedPageBreak/>
              <w:t>This paper</w:t>
            </w:r>
            <w:r w:rsidRPr="00064E58">
              <w:rPr>
                <w:rFonts w:asciiTheme="majorHAnsi" w:hAnsiTheme="majorHAnsi"/>
                <w:sz w:val="22"/>
                <w:szCs w:val="22"/>
              </w:rPr>
              <w:t xml:space="preserve"> </w:t>
            </w:r>
            <w:r w:rsidR="00064E58" w:rsidRPr="00064E58">
              <w:rPr>
                <w:rFonts w:asciiTheme="majorHAnsi" w:hAnsiTheme="majorHAnsi"/>
                <w:sz w:val="22"/>
                <w:szCs w:val="22"/>
              </w:rPr>
              <w:t>draws on empirical work conducted as part of a multi-method research study funded by the Arts and Humanities Research Council (AHRC)</w:t>
            </w:r>
            <w:r w:rsidR="006621A5">
              <w:rPr>
                <w:rFonts w:asciiTheme="majorHAnsi" w:hAnsiTheme="majorHAnsi"/>
                <w:sz w:val="22"/>
                <w:szCs w:val="22"/>
              </w:rPr>
              <w:t>.  I</w:t>
            </w:r>
            <w:r w:rsidR="00E3253B">
              <w:rPr>
                <w:rFonts w:asciiTheme="majorHAnsi" w:hAnsiTheme="majorHAnsi"/>
                <w:sz w:val="22"/>
                <w:szCs w:val="22"/>
              </w:rPr>
              <w:t xml:space="preserve">t is concerned with </w:t>
            </w:r>
            <w:r w:rsidR="005B08A1">
              <w:rPr>
                <w:rFonts w:asciiTheme="majorHAnsi" w:hAnsiTheme="majorHAnsi"/>
                <w:sz w:val="22"/>
                <w:szCs w:val="22"/>
              </w:rPr>
              <w:t xml:space="preserve">public perceptions of an online </w:t>
            </w:r>
            <w:r w:rsidR="00E3253B">
              <w:rPr>
                <w:rFonts w:asciiTheme="majorHAnsi" w:hAnsiTheme="majorHAnsi"/>
                <w:sz w:val="22"/>
                <w:szCs w:val="22"/>
              </w:rPr>
              <w:t xml:space="preserve">population census and </w:t>
            </w:r>
            <w:r w:rsidR="00085060">
              <w:rPr>
                <w:rFonts w:asciiTheme="majorHAnsi" w:hAnsiTheme="majorHAnsi"/>
                <w:sz w:val="22"/>
                <w:szCs w:val="22"/>
              </w:rPr>
              <w:t>adds</w:t>
            </w:r>
            <w:r w:rsidR="00E3253B">
              <w:rPr>
                <w:rFonts w:asciiTheme="majorHAnsi" w:hAnsiTheme="majorHAnsi"/>
                <w:sz w:val="22"/>
                <w:szCs w:val="22"/>
              </w:rPr>
              <w:t xml:space="preserve"> </w:t>
            </w:r>
            <w:r w:rsidR="00085060">
              <w:rPr>
                <w:rFonts w:asciiTheme="majorHAnsi" w:hAnsiTheme="majorHAnsi"/>
                <w:sz w:val="22"/>
                <w:szCs w:val="22"/>
              </w:rPr>
              <w:t>to</w:t>
            </w:r>
            <w:r w:rsidR="00E3253B">
              <w:rPr>
                <w:rFonts w:asciiTheme="majorHAnsi" w:hAnsiTheme="majorHAnsi"/>
                <w:sz w:val="22"/>
                <w:szCs w:val="22"/>
              </w:rPr>
              <w:t xml:space="preserve"> prior work exploring the perceptions of policymakers of the utility of census outputs</w:t>
            </w:r>
            <w:r w:rsidR="00E3253B">
              <w:rPr>
                <w:rFonts w:asciiTheme="majorHAnsi" w:hAnsiTheme="majorHAnsi"/>
                <w:sz w:val="22"/>
                <w:szCs w:val="22"/>
              </w:rPr>
              <w:fldChar w:fldCharType="begin" w:fldLock="1"/>
            </w:r>
            <w:r w:rsidR="006621A5">
              <w:rPr>
                <w:rFonts w:asciiTheme="majorHAnsi" w:hAnsiTheme="majorHAnsi"/>
                <w:sz w:val="22"/>
                <w:szCs w:val="22"/>
              </w:rPr>
              <w:instrText>ADDIN CSL_CITATION { "citationItems" : [ { "id" : "ITEM-1", "itemData" : { "DOI" : "10.1177/0165551516628471", "ISSN" : "0165-5515", "abstract" : "This paper provides an assessment of the value of national population censuses as information sources with specific reference to UK census data and its use in policy-making. Mixed methods were adopted to collect quantitative and qualitative data from two sources: (a) a content analysis of policy documents; and (b) interviews with policy-makers in Scotland. The findings highlight that, although the general value of the census is recognized, policy-makers are not necessarily closely engaged with the census as a tool for directing the development and implementation of policy. This is evident, for example, in a lack of awareness of proposed changes to the census, and infrequent deployment of available data. The opportunity to change perceptions among policy-makers, and to expand the application of census data in public policy, is identified. With a novel focus on the deployment of censuses as sources of evidence for policy-making that includes the views of policy-makers from both within and beyond government, this work contributes to an established body of global research on international censuses.", "author" : [ { "dropping-particle" : "", "family" : "Killick", "given" : "L.", "non-dropping-particle" : "", "parse-names" : false, "suffix" : "" }, { "dropping-particle" : "", "family" : "Hall", "given" : "H.", "non-dropping-particle" : "", "parse-names" : false, "suffix" : "" }, { "dropping-particle" : "", "family" : "Duff", "given" : "A. S.", "non-dropping-particle" : "", "parse-names" : false, "suffix" : "" }, { "dropping-particle" : "", "family" : "Deakin", "given" : "M.", "non-dropping-particle" : "", "parse-names" : false, "suffix" : "" } ], "container-title" : "Journal of Information Science", "id" : "ITEM-1", "issued" : { "date-parts" : [ [ "2016", "2", "2" ] ] }, "page" : "0165551516628471-", "title" : "The census as an information source in public policy-making", "type" : "article-journal" }, "uris" : [ "http://www.mendeley.com/documents/?uuid=05cab780-480f-47c1-b174-567f6a97d006" ] } ], "mendeley" : { "formattedCitation" : "(Killick, Hall, Duff, &amp; Deakin, 2016)", "plainTextFormattedCitation" : "(Killick, Hall, Duff, &amp; Deakin, 2016)", "previouslyFormattedCitation" : "(Killick, Hall, Duff, &amp; Deakin, 2015)" }, "properties" : { "noteIndex" : 0 }, "schema" : "https://github.com/citation-style-language/schema/raw/master/csl-citation.json" }</w:instrText>
            </w:r>
            <w:r w:rsidR="00E3253B">
              <w:rPr>
                <w:rFonts w:asciiTheme="majorHAnsi" w:hAnsiTheme="majorHAnsi"/>
                <w:sz w:val="22"/>
                <w:szCs w:val="22"/>
              </w:rPr>
              <w:fldChar w:fldCharType="separate"/>
            </w:r>
            <w:r w:rsidR="006621A5" w:rsidRPr="006621A5">
              <w:rPr>
                <w:rFonts w:asciiTheme="majorHAnsi" w:hAnsiTheme="majorHAnsi"/>
                <w:noProof/>
                <w:sz w:val="22"/>
                <w:szCs w:val="22"/>
              </w:rPr>
              <w:t>(Killick, Hall, Duff, &amp; Deakin, 2016)</w:t>
            </w:r>
            <w:r w:rsidR="00E3253B">
              <w:rPr>
                <w:rFonts w:asciiTheme="majorHAnsi" w:hAnsiTheme="majorHAnsi"/>
                <w:sz w:val="22"/>
                <w:szCs w:val="22"/>
              </w:rPr>
              <w:fldChar w:fldCharType="end"/>
            </w:r>
            <w:r w:rsidR="00E3253B">
              <w:rPr>
                <w:rFonts w:asciiTheme="majorHAnsi" w:hAnsiTheme="majorHAnsi"/>
                <w:sz w:val="22"/>
                <w:szCs w:val="22"/>
              </w:rPr>
              <w:t xml:space="preserve">.  </w:t>
            </w:r>
          </w:p>
          <w:p w:rsidR="006621A5" w:rsidRDefault="006621A5" w:rsidP="00D22C75">
            <w:pPr>
              <w:jc w:val="both"/>
              <w:rPr>
                <w:rFonts w:asciiTheme="majorHAnsi" w:hAnsiTheme="majorHAnsi"/>
                <w:sz w:val="22"/>
                <w:szCs w:val="22"/>
              </w:rPr>
            </w:pPr>
          </w:p>
          <w:p w:rsidR="00B53EF0" w:rsidRDefault="006621A5" w:rsidP="00D22C75">
            <w:pPr>
              <w:jc w:val="both"/>
              <w:rPr>
                <w:rFonts w:asciiTheme="majorHAnsi" w:hAnsiTheme="majorHAnsi"/>
                <w:sz w:val="22"/>
                <w:szCs w:val="22"/>
              </w:rPr>
            </w:pPr>
            <w:r>
              <w:rPr>
                <w:rFonts w:asciiTheme="majorHAnsi" w:hAnsiTheme="majorHAnsi"/>
                <w:sz w:val="22"/>
                <w:szCs w:val="22"/>
              </w:rPr>
              <w:lastRenderedPageBreak/>
              <w:t>This</w:t>
            </w:r>
            <w:r w:rsidR="00E3253B">
              <w:rPr>
                <w:rFonts w:asciiTheme="majorHAnsi" w:hAnsiTheme="majorHAnsi"/>
                <w:sz w:val="22"/>
                <w:szCs w:val="22"/>
              </w:rPr>
              <w:t xml:space="preserve"> paper</w:t>
            </w:r>
            <w:r w:rsidR="00812F0B">
              <w:rPr>
                <w:rFonts w:asciiTheme="majorHAnsi" w:hAnsiTheme="majorHAnsi"/>
                <w:sz w:val="22"/>
                <w:szCs w:val="22"/>
              </w:rPr>
              <w:t xml:space="preserve"> makes particular reference to </w:t>
            </w:r>
            <w:r w:rsidR="00812F0B" w:rsidRPr="00064E58">
              <w:rPr>
                <w:rFonts w:asciiTheme="majorHAnsi" w:hAnsiTheme="majorHAnsi"/>
                <w:sz w:val="22"/>
                <w:szCs w:val="22"/>
              </w:rPr>
              <w:t>the</w:t>
            </w:r>
            <w:r w:rsidR="00064E58" w:rsidRPr="00064E58">
              <w:rPr>
                <w:rFonts w:asciiTheme="majorHAnsi" w:hAnsiTheme="majorHAnsi"/>
                <w:sz w:val="22"/>
                <w:szCs w:val="22"/>
              </w:rPr>
              <w:t xml:space="preserve"> findings of a survey </w:t>
            </w:r>
            <w:r w:rsidR="00812F0B">
              <w:rPr>
                <w:rFonts w:asciiTheme="majorHAnsi" w:hAnsiTheme="majorHAnsi"/>
                <w:sz w:val="22"/>
                <w:szCs w:val="22"/>
              </w:rPr>
              <w:t xml:space="preserve">conducted </w:t>
            </w:r>
            <w:r>
              <w:rPr>
                <w:rFonts w:asciiTheme="majorHAnsi" w:hAnsiTheme="majorHAnsi"/>
                <w:sz w:val="22"/>
                <w:szCs w:val="22"/>
              </w:rPr>
              <w:t>as part of the wider AHRC funded study</w:t>
            </w:r>
            <w:r w:rsidR="00812F0B">
              <w:rPr>
                <w:rFonts w:asciiTheme="majorHAnsi" w:hAnsiTheme="majorHAnsi"/>
                <w:sz w:val="22"/>
                <w:szCs w:val="22"/>
              </w:rPr>
              <w:t xml:space="preserve">.  </w:t>
            </w:r>
            <w:r w:rsidR="00A62F1D">
              <w:rPr>
                <w:rFonts w:asciiTheme="majorHAnsi" w:hAnsiTheme="majorHAnsi"/>
                <w:sz w:val="22"/>
                <w:szCs w:val="22"/>
              </w:rPr>
              <w:t xml:space="preserve">The author used NoviSurvey software to support the design and distribution of the survey.  </w:t>
            </w:r>
            <w:r w:rsidR="00E3253B">
              <w:rPr>
                <w:rFonts w:asciiTheme="majorHAnsi" w:hAnsiTheme="majorHAnsi"/>
                <w:sz w:val="22"/>
                <w:szCs w:val="22"/>
              </w:rPr>
              <w:t xml:space="preserve">The survey </w:t>
            </w:r>
            <w:r>
              <w:rPr>
                <w:rFonts w:asciiTheme="majorHAnsi" w:hAnsiTheme="majorHAnsi"/>
                <w:sz w:val="22"/>
                <w:szCs w:val="22"/>
              </w:rPr>
              <w:t>is</w:t>
            </w:r>
            <w:r w:rsidR="00E3253B">
              <w:rPr>
                <w:rFonts w:asciiTheme="majorHAnsi" w:hAnsiTheme="majorHAnsi"/>
                <w:sz w:val="22"/>
                <w:szCs w:val="22"/>
              </w:rPr>
              <w:t xml:space="preserve"> concerned with the motivation of the public to participate in the population census of 2021</w:t>
            </w:r>
            <w:r>
              <w:rPr>
                <w:rFonts w:asciiTheme="majorHAnsi" w:hAnsiTheme="majorHAnsi"/>
                <w:sz w:val="22"/>
                <w:szCs w:val="22"/>
              </w:rPr>
              <w:t xml:space="preserve"> and attitudes about accessibility, data security and data handling</w:t>
            </w:r>
            <w:r w:rsidR="00E3253B">
              <w:rPr>
                <w:rFonts w:asciiTheme="majorHAnsi" w:hAnsiTheme="majorHAnsi"/>
                <w:sz w:val="22"/>
                <w:szCs w:val="22"/>
              </w:rPr>
              <w:t xml:space="preserve">.  </w:t>
            </w:r>
            <w:r w:rsidR="00B53EF0">
              <w:rPr>
                <w:rFonts w:asciiTheme="majorHAnsi" w:hAnsiTheme="majorHAnsi"/>
                <w:sz w:val="22"/>
                <w:szCs w:val="22"/>
              </w:rPr>
              <w:t xml:space="preserve">This </w:t>
            </w:r>
            <w:r>
              <w:rPr>
                <w:rFonts w:asciiTheme="majorHAnsi" w:hAnsiTheme="majorHAnsi"/>
                <w:sz w:val="22"/>
                <w:szCs w:val="22"/>
              </w:rPr>
              <w:t>findings presented in this abstract relate to</w:t>
            </w:r>
            <w:r w:rsidR="00B53EF0">
              <w:rPr>
                <w:rFonts w:asciiTheme="majorHAnsi" w:hAnsiTheme="majorHAnsi"/>
                <w:sz w:val="22"/>
                <w:szCs w:val="22"/>
              </w:rPr>
              <w:t xml:space="preserve"> </w:t>
            </w:r>
            <w:r w:rsidR="00851CA8">
              <w:rPr>
                <w:rFonts w:asciiTheme="majorHAnsi" w:hAnsiTheme="majorHAnsi"/>
                <w:sz w:val="22"/>
                <w:szCs w:val="22"/>
              </w:rPr>
              <w:t>330</w:t>
            </w:r>
            <w:r w:rsidR="00B53EF0">
              <w:rPr>
                <w:rFonts w:asciiTheme="majorHAnsi" w:hAnsiTheme="majorHAnsi"/>
                <w:sz w:val="22"/>
                <w:szCs w:val="22"/>
              </w:rPr>
              <w:t xml:space="preserve"> responses received in 201</w:t>
            </w:r>
            <w:r w:rsidR="00851CA8">
              <w:rPr>
                <w:rFonts w:asciiTheme="majorHAnsi" w:hAnsiTheme="majorHAnsi"/>
                <w:sz w:val="22"/>
                <w:szCs w:val="22"/>
              </w:rPr>
              <w:t>7</w:t>
            </w:r>
            <w:r w:rsidR="00B53EF0">
              <w:rPr>
                <w:rFonts w:asciiTheme="majorHAnsi" w:hAnsiTheme="majorHAnsi"/>
                <w:sz w:val="22"/>
                <w:szCs w:val="22"/>
              </w:rPr>
              <w:t xml:space="preserve">. </w:t>
            </w:r>
          </w:p>
          <w:p w:rsidR="00B53EF0" w:rsidRDefault="00B53EF0" w:rsidP="00D22C75">
            <w:pPr>
              <w:jc w:val="both"/>
              <w:rPr>
                <w:rFonts w:asciiTheme="majorHAnsi" w:hAnsiTheme="majorHAnsi"/>
                <w:sz w:val="22"/>
                <w:szCs w:val="22"/>
              </w:rPr>
            </w:pPr>
          </w:p>
          <w:p w:rsidR="00064E58" w:rsidRPr="00064E58" w:rsidRDefault="00064E58" w:rsidP="00D22C75">
            <w:pPr>
              <w:jc w:val="both"/>
              <w:rPr>
                <w:rFonts w:asciiTheme="majorHAnsi" w:hAnsiTheme="majorHAnsi"/>
                <w:sz w:val="22"/>
                <w:szCs w:val="22"/>
              </w:rPr>
            </w:pPr>
            <w:r w:rsidRPr="00064E58">
              <w:rPr>
                <w:rFonts w:asciiTheme="majorHAnsi" w:hAnsiTheme="majorHAnsi"/>
                <w:sz w:val="22"/>
                <w:szCs w:val="22"/>
              </w:rPr>
              <w:t xml:space="preserve">Governments understand that information about the population of their nation can inform policy decisions, with particular regard to policy decisions that could improve health and social outcomes for the </w:t>
            </w:r>
            <w:r w:rsidR="00A437F1">
              <w:rPr>
                <w:rFonts w:asciiTheme="majorHAnsi" w:hAnsiTheme="majorHAnsi"/>
                <w:sz w:val="22"/>
                <w:szCs w:val="22"/>
              </w:rPr>
              <w:t>population</w:t>
            </w:r>
            <w:r w:rsidR="0049265D">
              <w:rPr>
                <w:rFonts w:asciiTheme="majorHAnsi" w:hAnsiTheme="majorHAnsi"/>
                <w:sz w:val="22"/>
                <w:szCs w:val="22"/>
              </w:rPr>
              <w:t xml:space="preserve"> </w:t>
            </w:r>
            <w:r w:rsidR="00A437F1">
              <w:rPr>
                <w:rFonts w:asciiTheme="majorHAnsi" w:hAnsiTheme="majorHAnsi"/>
                <w:sz w:val="22"/>
                <w:szCs w:val="22"/>
              </w:rPr>
              <w:fldChar w:fldCharType="begin" w:fldLock="1"/>
            </w:r>
            <w:r w:rsidR="004E0A7E">
              <w:rPr>
                <w:rFonts w:asciiTheme="majorHAnsi" w:hAnsiTheme="majorHAnsi"/>
                <w:sz w:val="22"/>
                <w:szCs w:val="22"/>
              </w:rPr>
              <w:instrText>ADDIN CSL_CITATION { "citationItems" : [ { "id" : "ITEM-1", "itemData" : { "ISSN" : "0307-4463", "PMID" : "19606600", "abstract" : "As reported in Population Trends 135 the U.K. Statistics Authority's proposals for the next Census in England and Wales, to be taken in March 2011 were published and presented t Parliament and the National Assembly for Wales in a Government White Paper2 on 11 December This article--the second of tw0 to report on the significant recent developments in the design of the Census--summarises the key methodological, operational and technological changes that have been introduced since the 2001 Census with the prime aim of achieving and reporting on, the most accurate estimate of the resident population.", "author" : [ { "dropping-particle" : "", "family" : "White", "given" : "Ian", "non-dropping-particle" : "", "parse-names" : false, "suffix" : "" } ], "container-title" : "Population trends", "id" : "ITEM-1", "issue" : "136", "issued" : { "date-parts" : [ [ "2009", "1" ] ] }, "page" : "64-72", "title" : "The 2011 Census taking shape: methodological and technological developments.", "type" : "article-journal" }, "uris" : [ "http://www.mendeley.com/documents/?uuid=27f915dd-42df-4964-ab35-eb0129c97198" ] } ], "mendeley" : { "formattedCitation" : "(White, 2009)", "plainTextFormattedCitation" : "(White, 2009)", "previouslyFormattedCitation" : "(White, 2009)" }, "properties" : { "noteIndex" : 0 }, "schema" : "https://github.com/citation-style-language/schema/raw/master/csl-citation.json" }</w:instrText>
            </w:r>
            <w:r w:rsidR="00A437F1">
              <w:rPr>
                <w:rFonts w:asciiTheme="majorHAnsi" w:hAnsiTheme="majorHAnsi"/>
                <w:sz w:val="22"/>
                <w:szCs w:val="22"/>
              </w:rPr>
              <w:fldChar w:fldCharType="separate"/>
            </w:r>
            <w:r w:rsidR="00A437F1" w:rsidRPr="00A437F1">
              <w:rPr>
                <w:rFonts w:asciiTheme="majorHAnsi" w:hAnsiTheme="majorHAnsi"/>
                <w:noProof/>
                <w:sz w:val="22"/>
                <w:szCs w:val="22"/>
              </w:rPr>
              <w:t>(White, 2009)</w:t>
            </w:r>
            <w:r w:rsidR="00A437F1">
              <w:rPr>
                <w:rFonts w:asciiTheme="majorHAnsi" w:hAnsiTheme="majorHAnsi"/>
                <w:sz w:val="22"/>
                <w:szCs w:val="22"/>
              </w:rPr>
              <w:fldChar w:fldCharType="end"/>
            </w:r>
            <w:r w:rsidRPr="00064E58">
              <w:rPr>
                <w:rFonts w:asciiTheme="majorHAnsi" w:hAnsiTheme="majorHAnsi"/>
                <w:sz w:val="22"/>
                <w:szCs w:val="22"/>
              </w:rPr>
              <w:t xml:space="preserve">. </w:t>
            </w:r>
            <w:r w:rsidR="00E15821">
              <w:rPr>
                <w:rFonts w:asciiTheme="majorHAnsi" w:hAnsiTheme="majorHAnsi"/>
                <w:sz w:val="22"/>
                <w:szCs w:val="22"/>
              </w:rPr>
              <w:t>Accordingly</w:t>
            </w:r>
            <w:r w:rsidR="00812F0B" w:rsidRPr="00064E58">
              <w:rPr>
                <w:rFonts w:asciiTheme="majorHAnsi" w:hAnsiTheme="majorHAnsi"/>
                <w:sz w:val="22"/>
                <w:szCs w:val="22"/>
              </w:rPr>
              <w:t>,</w:t>
            </w:r>
            <w:r w:rsidRPr="00064E58">
              <w:rPr>
                <w:rFonts w:asciiTheme="majorHAnsi" w:hAnsiTheme="majorHAnsi"/>
                <w:sz w:val="22"/>
                <w:szCs w:val="22"/>
              </w:rPr>
              <w:t xml:space="preserve"> the </w:t>
            </w:r>
            <w:r w:rsidR="00812F0B">
              <w:rPr>
                <w:rFonts w:asciiTheme="majorHAnsi" w:hAnsiTheme="majorHAnsi"/>
                <w:sz w:val="22"/>
                <w:szCs w:val="22"/>
              </w:rPr>
              <w:t>g</w:t>
            </w:r>
            <w:r w:rsidR="00812F0B" w:rsidRPr="00064E58">
              <w:rPr>
                <w:rFonts w:asciiTheme="majorHAnsi" w:hAnsiTheme="majorHAnsi"/>
                <w:sz w:val="22"/>
                <w:szCs w:val="22"/>
              </w:rPr>
              <w:t>overnment</w:t>
            </w:r>
            <w:r w:rsidRPr="00064E58">
              <w:rPr>
                <w:rFonts w:asciiTheme="majorHAnsi" w:hAnsiTheme="majorHAnsi"/>
                <w:sz w:val="22"/>
                <w:szCs w:val="22"/>
              </w:rPr>
              <w:t xml:space="preserve"> compels citizens to participate in a count so that it can make policy decisions for the benefit of society.  Enumeration of the population by way of a confidential census continues to be the preferred option to gather population information in the UK.  However, public sector </w:t>
            </w:r>
            <w:r w:rsidR="00FA3216" w:rsidRPr="00064E58">
              <w:rPr>
                <w:rFonts w:asciiTheme="majorHAnsi" w:hAnsiTheme="majorHAnsi"/>
                <w:sz w:val="22"/>
                <w:szCs w:val="22"/>
              </w:rPr>
              <w:t>reform combined with the availability of new technologies has</w:t>
            </w:r>
            <w:r w:rsidRPr="00064E58">
              <w:rPr>
                <w:rFonts w:asciiTheme="majorHAnsi" w:hAnsiTheme="majorHAnsi"/>
                <w:sz w:val="22"/>
                <w:szCs w:val="22"/>
              </w:rPr>
              <w:t xml:space="preserve"> led to a review of the traditional census</w:t>
            </w:r>
            <w:r w:rsidR="0049265D">
              <w:rPr>
                <w:rFonts w:asciiTheme="majorHAnsi" w:hAnsiTheme="majorHAnsi"/>
                <w:sz w:val="22"/>
                <w:szCs w:val="22"/>
              </w:rPr>
              <w:t xml:space="preserve"> </w:t>
            </w:r>
            <w:r w:rsidR="004E0A7E">
              <w:rPr>
                <w:rFonts w:asciiTheme="majorHAnsi" w:hAnsiTheme="majorHAnsi"/>
                <w:sz w:val="22"/>
                <w:szCs w:val="22"/>
              </w:rPr>
              <w:fldChar w:fldCharType="begin" w:fldLock="1"/>
            </w:r>
            <w:r w:rsidR="000700CB">
              <w:rPr>
                <w:rFonts w:asciiTheme="majorHAnsi" w:hAnsiTheme="majorHAnsi"/>
                <w:sz w:val="22"/>
                <w:szCs w:val="22"/>
              </w:rPr>
              <w:instrText>ADDIN CSL_CITATION { "citationItems" : [ { "id" : "ITEM-1", "itemData" : { "DOI" : "10.1111/j.0004-0894.2004.00207.x", "ISBN" : "0004-0894", "ISSN" : "0004-0894", "abstract" : "National censuses are expensive. They are conducted infrequently. They collect information that some feel infringes their human rights, and people are required by law to complete them. The outputs are not perfect, and in some situations may be misleading. Some suggest that censuses hark back to a period when regularly collected administrative data were not available. These are some of the views held about national censuses. Why, then, would others argue that they are an essential resource? In this paper, we consider some of the pros and cons of conducting national censuses, before introducing a series of papers that draw on early data available from the 2007 UK census. We argue that these papers, and the wealth of research that will be conducted in the future with 2001 census data, make a strong case for supporting the compulsory collection of personal information about the 'entire' population every ten years.", "author" : [ { "dropping-particle" : "", "family" : "Boyle", "given" : "Paul", "non-dropping-particle" : "", "parse-names" : false, "suffix" : "" }, { "dropping-particle" : "", "family" : "Dorling", "given" : "Danny", "non-dropping-particle" : "", "parse-names" : false, "suffix" : "" } ], "container-title" : "Area", "id" : "ITEM-1", "issued" : { "date-parts" : [ [ "2004" ] ] }, "page" : "101-110", "title" : "Guest editorial: the 2001 UK census: remarkable resource or bygone legacy of the 'pencil and paper era'?", "type" : "article-journal", "volume" : "36" }, "uris" : [ "http://www.mendeley.com/documents/?uuid=58c2aace-4798-48e9-8fd7-08c38cf1bbea" ] }, { "id" : "ITEM-2", "itemData" : { "DOI" : "10.2501/IJMR-53-5-619-650", "ISSN" : "1470-7853", "abstract" : "The recent census in the UK, taken in March 2011, may also have been our last - since the Office for National Statistics has announced that it intends to explore alternative more cost-effective options for 'census taking' in the future. In this paper, we consider what the options may be, based on approaches and experiences from other countries, and assess their implications for users. We start by reminding ourselves about the value of the census and the strengths and weaknesses of the current approach. We then identify the principal methods being followed in other countries, together with their advantages and disadvantages. This leads us to review methodological work in the UK, building up to the current 'Beyond' 2011' ONS project. We focus on administrative records as a possible way of removing the need for a full population survey. Finally, we assess the options and discuss the implications for users in market research.", "author" : [ { "dropping-particle" : "", "family" : "Dugmore", "given" : "Keith", "non-dropping-particle" : "", "parse-names" : false, "suffix" : "" }, { "dropping-particle" : "", "family" : "Furness", "given" : "Peter", "non-dropping-particle" : "", "parse-names" : false, "suffix" : "" }, { "dropping-particle" : "", "family" : "Leventhal", "given" : "Barry", "non-dropping-particle" : "", "parse-names" : false, "suffix" : "" }, { "dropping-particle" : "", "family" : "Moy", "given" : "Corrine", "non-dropping-particle" : "", "parse-names" : false, "suffix" : "" } ], "container-title" : "International Journal of Market Research", "id" : "ITEM-2", "issued" : { "date-parts" : [ [ "2011" ] ] }, "page" : "619", "title" : "Beyond the 2011 census in the United Kingdom: with an international perspective", "type" : "article", "volume" : "53" }, "uris" : [ "http://www.mendeley.com/documents/?uuid=4dff0382-1d34-4a20-a243-bfc4c7cea8e9" ] }, { "id" : "ITEM-3", "itemData" : { "ISSN" : "0307-4463", "PMID" : "19606600", "abstract" : "As reported in Population Trends 135 the U.K. Statistics Authority's proposals for the next Census in England and Wales, to be taken in March 2011 were published and presented t Parliament and the National Assembly for Wales in a Government White Paper2 on 11 December This article--the second of tw0 to report on the significant recent developments in the design of the Census--summarises the key methodological, operational and technological changes that have been introduced since the 2001 Census with the prime aim of achieving and reporting on, the most accurate estimate of the resident population.", "author" : [ { "dropping-particle" : "", "family" : "White", "given" : "Ian", "non-dropping-particle" : "", "parse-names" : false, "suffix" : "" } ], "container-title" : "Population trends", "id" : "ITEM-3", "issue" : "136", "issued" : { "date-parts" : [ [ "2009", "1" ] ] }, "page" : "64-72", "title" : "The 2011 Census taking shape: methodological and technological developments.", "type" : "article-journal" }, "uris" : [ "http://www.mendeley.com/documents/?uuid=27f915dd-42df-4964-ab35-eb0129c97198" ] }, { "id" : "ITEM-4", "itemData" : { "author" : [ { "dropping-particle" : "", "family" : "Coleman", "given" : "DD", "non-dropping-particle" : "", "parse-names" : false, "suffix" : "" } ], "container-title" : "PoPulation and develoPment review", "id" : "ITEM-4", "issued" : { "date-parts" : [ [ "2013" ] ] }, "page" : "334-351", "title" : "The twilight of the census", "type" : "article-journal", "volume" : "8" }, "uris" : [ "http://www.mendeley.com/documents/?uuid=e2c16cfb-5529-43db-a071-d217b29c372e" ] } ], "mendeley" : { "formattedCitation" : "(Boyle &amp; Dorling, 2004; Coleman, 2013; Dugmore, Furness, Leventhal, &amp; Moy, 2011; White, 2009)", "plainTextFormattedCitation" : "(Boyle &amp; Dorling, 2004; Coleman, 2013; Dugmore, Furness, Leventhal, &amp; Moy, 2011; White, 2009)", "previouslyFormattedCitation" : "(Boyle &amp; Dorling, 2004; Coleman, 2013; Dugmore, Furness, Leventhal, &amp; Moy, 2011; White, 2009)" }, "properties" : { "noteIndex" : 0 }, "schema" : "https://github.com/citation-style-language/schema/raw/master/csl-citation.json" }</w:instrText>
            </w:r>
            <w:r w:rsidR="004E0A7E">
              <w:rPr>
                <w:rFonts w:asciiTheme="majorHAnsi" w:hAnsiTheme="majorHAnsi"/>
                <w:sz w:val="22"/>
                <w:szCs w:val="22"/>
              </w:rPr>
              <w:fldChar w:fldCharType="separate"/>
            </w:r>
            <w:r w:rsidR="000700CB" w:rsidRPr="000700CB">
              <w:rPr>
                <w:rFonts w:asciiTheme="majorHAnsi" w:hAnsiTheme="majorHAnsi"/>
                <w:noProof/>
                <w:sz w:val="22"/>
                <w:szCs w:val="22"/>
              </w:rPr>
              <w:t>(Boyle &amp; Dorling, 2004; Coleman, 2013; Dugmore, Furness, Leventhal, &amp; Moy, 2011; White, 2009)</w:t>
            </w:r>
            <w:r w:rsidR="004E0A7E">
              <w:rPr>
                <w:rFonts w:asciiTheme="majorHAnsi" w:hAnsiTheme="majorHAnsi"/>
                <w:sz w:val="22"/>
                <w:szCs w:val="22"/>
              </w:rPr>
              <w:fldChar w:fldCharType="end"/>
            </w:r>
            <w:r w:rsidR="00812F0B">
              <w:rPr>
                <w:rFonts w:asciiTheme="majorHAnsi" w:hAnsiTheme="majorHAnsi"/>
                <w:sz w:val="22"/>
                <w:szCs w:val="22"/>
              </w:rPr>
              <w:t xml:space="preserve">. </w:t>
            </w:r>
            <w:r w:rsidRPr="00064E58">
              <w:rPr>
                <w:rFonts w:asciiTheme="majorHAnsi" w:hAnsiTheme="majorHAnsi"/>
                <w:sz w:val="22"/>
                <w:szCs w:val="22"/>
              </w:rPr>
              <w:t xml:space="preserve"> Following a detailed research exercise and consultation conducted by the </w:t>
            </w:r>
            <w:r w:rsidR="00812F0B">
              <w:rPr>
                <w:rFonts w:asciiTheme="majorHAnsi" w:hAnsiTheme="majorHAnsi"/>
                <w:sz w:val="22"/>
                <w:szCs w:val="22"/>
              </w:rPr>
              <w:t>c</w:t>
            </w:r>
            <w:r w:rsidR="00812F0B" w:rsidRPr="00064E58">
              <w:rPr>
                <w:rFonts w:asciiTheme="majorHAnsi" w:hAnsiTheme="majorHAnsi"/>
                <w:sz w:val="22"/>
                <w:szCs w:val="22"/>
              </w:rPr>
              <w:t xml:space="preserve">ensus </w:t>
            </w:r>
            <w:r w:rsidRPr="00064E58">
              <w:rPr>
                <w:rFonts w:asciiTheme="majorHAnsi" w:hAnsiTheme="majorHAnsi"/>
                <w:sz w:val="22"/>
                <w:szCs w:val="22"/>
              </w:rPr>
              <w:t xml:space="preserve">offices of the UK home nations, the </w:t>
            </w:r>
            <w:r w:rsidR="00E15821">
              <w:rPr>
                <w:rFonts w:asciiTheme="majorHAnsi" w:hAnsiTheme="majorHAnsi"/>
                <w:sz w:val="22"/>
                <w:szCs w:val="22"/>
              </w:rPr>
              <w:t>2021</w:t>
            </w:r>
            <w:r w:rsidR="00E15821" w:rsidRPr="00064E58">
              <w:rPr>
                <w:rFonts w:asciiTheme="majorHAnsi" w:hAnsiTheme="majorHAnsi"/>
                <w:sz w:val="22"/>
                <w:szCs w:val="22"/>
              </w:rPr>
              <w:t xml:space="preserve"> </w:t>
            </w:r>
            <w:r w:rsidRPr="00064E58">
              <w:rPr>
                <w:rFonts w:asciiTheme="majorHAnsi" w:hAnsiTheme="majorHAnsi"/>
                <w:sz w:val="22"/>
                <w:szCs w:val="22"/>
              </w:rPr>
              <w:t xml:space="preserve">census in Scotland will require the public to provide household information using online platforms.  </w:t>
            </w:r>
          </w:p>
          <w:p w:rsidR="00064E58" w:rsidRPr="00064E58" w:rsidRDefault="00064E58" w:rsidP="00D22C75">
            <w:pPr>
              <w:jc w:val="both"/>
              <w:rPr>
                <w:rFonts w:asciiTheme="majorHAnsi" w:hAnsiTheme="majorHAnsi"/>
                <w:sz w:val="22"/>
                <w:szCs w:val="22"/>
              </w:rPr>
            </w:pPr>
          </w:p>
          <w:p w:rsidR="00064E58" w:rsidRDefault="00FD3DC1" w:rsidP="00D22C75">
            <w:pPr>
              <w:jc w:val="both"/>
              <w:rPr>
                <w:rFonts w:asciiTheme="majorHAnsi" w:hAnsiTheme="majorHAnsi"/>
                <w:sz w:val="22"/>
                <w:szCs w:val="22"/>
              </w:rPr>
            </w:pPr>
            <w:r>
              <w:rPr>
                <w:rFonts w:asciiTheme="majorHAnsi" w:hAnsiTheme="majorHAnsi"/>
                <w:sz w:val="22"/>
                <w:szCs w:val="22"/>
              </w:rPr>
              <w:t>The</w:t>
            </w:r>
            <w:r w:rsidR="00064E58" w:rsidRPr="00064E58">
              <w:rPr>
                <w:rFonts w:asciiTheme="majorHAnsi" w:hAnsiTheme="majorHAnsi"/>
                <w:sz w:val="22"/>
                <w:szCs w:val="22"/>
              </w:rPr>
              <w:t xml:space="preserve"> census office </w:t>
            </w:r>
            <w:r>
              <w:rPr>
                <w:rFonts w:asciiTheme="majorHAnsi" w:hAnsiTheme="majorHAnsi"/>
                <w:sz w:val="22"/>
                <w:szCs w:val="22"/>
              </w:rPr>
              <w:t xml:space="preserve">also </w:t>
            </w:r>
            <w:r w:rsidR="00064E58" w:rsidRPr="00064E58">
              <w:rPr>
                <w:rFonts w:asciiTheme="majorHAnsi" w:hAnsiTheme="majorHAnsi"/>
                <w:sz w:val="22"/>
                <w:szCs w:val="22"/>
              </w:rPr>
              <w:t xml:space="preserve">intends to augment census data with information extracted from administrative records.  This is to </w:t>
            </w:r>
            <w:r>
              <w:rPr>
                <w:rFonts w:asciiTheme="majorHAnsi" w:hAnsiTheme="majorHAnsi"/>
                <w:sz w:val="22"/>
                <w:szCs w:val="22"/>
              </w:rPr>
              <w:t xml:space="preserve">plug data gaps in the census and </w:t>
            </w:r>
            <w:r w:rsidR="00064E58" w:rsidRPr="00064E58">
              <w:rPr>
                <w:rFonts w:asciiTheme="majorHAnsi" w:hAnsiTheme="majorHAnsi"/>
                <w:sz w:val="22"/>
                <w:szCs w:val="22"/>
              </w:rPr>
              <w:t xml:space="preserve">meet requests </w:t>
            </w:r>
            <w:r>
              <w:rPr>
                <w:rFonts w:asciiTheme="majorHAnsi" w:hAnsiTheme="majorHAnsi"/>
                <w:sz w:val="22"/>
                <w:szCs w:val="22"/>
              </w:rPr>
              <w:t>of</w:t>
            </w:r>
            <w:r w:rsidRPr="00064E58">
              <w:rPr>
                <w:rFonts w:asciiTheme="majorHAnsi" w:hAnsiTheme="majorHAnsi"/>
                <w:sz w:val="22"/>
                <w:szCs w:val="22"/>
              </w:rPr>
              <w:t xml:space="preserve"> </w:t>
            </w:r>
            <w:r w:rsidR="00064E58" w:rsidRPr="00064E58">
              <w:rPr>
                <w:rFonts w:asciiTheme="majorHAnsi" w:hAnsiTheme="majorHAnsi"/>
                <w:sz w:val="22"/>
                <w:szCs w:val="22"/>
              </w:rPr>
              <w:t xml:space="preserve">data users for more frequent </w:t>
            </w:r>
            <w:r>
              <w:rPr>
                <w:rFonts w:asciiTheme="majorHAnsi" w:hAnsiTheme="majorHAnsi"/>
                <w:sz w:val="22"/>
                <w:szCs w:val="22"/>
              </w:rPr>
              <w:t>output reports</w:t>
            </w:r>
            <w:r w:rsidR="00CF6A2B">
              <w:rPr>
                <w:rFonts w:asciiTheme="majorHAnsi" w:hAnsiTheme="majorHAnsi"/>
                <w:sz w:val="22"/>
                <w:szCs w:val="22"/>
              </w:rPr>
              <w:t xml:space="preserve">.  </w:t>
            </w:r>
            <w:r w:rsidR="00064E58" w:rsidRPr="00064E58">
              <w:rPr>
                <w:rFonts w:asciiTheme="majorHAnsi" w:hAnsiTheme="majorHAnsi"/>
                <w:sz w:val="22"/>
                <w:szCs w:val="22"/>
              </w:rPr>
              <w:t>The issue of data sharing between government sector organisations raises questions regarding informed consent.  For example</w:t>
            </w:r>
            <w:r w:rsidR="009144C5">
              <w:rPr>
                <w:rFonts w:asciiTheme="majorHAnsi" w:hAnsiTheme="majorHAnsi"/>
                <w:sz w:val="22"/>
                <w:szCs w:val="22"/>
              </w:rPr>
              <w:t>,</w:t>
            </w:r>
            <w:r w:rsidR="00064E58" w:rsidRPr="00064E58">
              <w:rPr>
                <w:rFonts w:asciiTheme="majorHAnsi" w:hAnsiTheme="majorHAnsi"/>
                <w:sz w:val="22"/>
                <w:szCs w:val="22"/>
              </w:rPr>
              <w:t xml:space="preserve"> with particular reference to data sharing, albeit in a US </w:t>
            </w:r>
            <w:r w:rsidR="00CF6A2B">
              <w:rPr>
                <w:rFonts w:asciiTheme="majorHAnsi" w:hAnsiTheme="majorHAnsi"/>
                <w:sz w:val="22"/>
                <w:szCs w:val="22"/>
              </w:rPr>
              <w:t>census taking context, McMillen</w:t>
            </w:r>
            <w:r w:rsidR="0049265D">
              <w:rPr>
                <w:rFonts w:asciiTheme="majorHAnsi" w:hAnsiTheme="majorHAnsi"/>
                <w:sz w:val="22"/>
                <w:szCs w:val="22"/>
              </w:rPr>
              <w:t xml:space="preserve"> </w:t>
            </w:r>
            <w:r w:rsidR="00064E58" w:rsidRPr="00064E58">
              <w:rPr>
                <w:rFonts w:asciiTheme="majorHAnsi" w:hAnsiTheme="majorHAnsi"/>
                <w:sz w:val="22"/>
                <w:szCs w:val="22"/>
              </w:rPr>
              <w:t xml:space="preserve">(2004) argues that </w:t>
            </w:r>
            <w:r w:rsidR="006F017C">
              <w:rPr>
                <w:rFonts w:asciiTheme="majorHAnsi" w:hAnsiTheme="majorHAnsi"/>
                <w:sz w:val="22"/>
                <w:szCs w:val="22"/>
              </w:rPr>
              <w:t xml:space="preserve">government does not properly inform </w:t>
            </w:r>
            <w:r w:rsidR="00064E58" w:rsidRPr="00064E58">
              <w:rPr>
                <w:rFonts w:asciiTheme="majorHAnsi" w:hAnsiTheme="majorHAnsi"/>
                <w:sz w:val="22"/>
                <w:szCs w:val="22"/>
              </w:rPr>
              <w:t xml:space="preserve">the public about the use of personal data held by </w:t>
            </w:r>
            <w:r w:rsidR="006F017C">
              <w:rPr>
                <w:rFonts w:asciiTheme="majorHAnsi" w:hAnsiTheme="majorHAnsi"/>
                <w:sz w:val="22"/>
                <w:szCs w:val="22"/>
              </w:rPr>
              <w:t>its</w:t>
            </w:r>
            <w:r w:rsidR="006F017C" w:rsidRPr="00064E58">
              <w:rPr>
                <w:rFonts w:asciiTheme="majorHAnsi" w:hAnsiTheme="majorHAnsi"/>
                <w:sz w:val="22"/>
                <w:szCs w:val="22"/>
              </w:rPr>
              <w:t xml:space="preserve"> </w:t>
            </w:r>
            <w:r w:rsidR="00991F8F" w:rsidRPr="00064E58">
              <w:rPr>
                <w:rFonts w:asciiTheme="majorHAnsi" w:hAnsiTheme="majorHAnsi"/>
                <w:sz w:val="22"/>
                <w:szCs w:val="22"/>
              </w:rPr>
              <w:t>institutions</w:t>
            </w:r>
            <w:r w:rsidR="0049265D">
              <w:rPr>
                <w:rFonts w:asciiTheme="majorHAnsi" w:hAnsiTheme="majorHAnsi"/>
                <w:sz w:val="22"/>
                <w:szCs w:val="22"/>
              </w:rPr>
              <w:t xml:space="preserve"> </w:t>
            </w:r>
            <w:r w:rsidR="000700CB">
              <w:rPr>
                <w:rFonts w:asciiTheme="majorHAnsi" w:hAnsiTheme="majorHAnsi"/>
                <w:sz w:val="22"/>
                <w:szCs w:val="22"/>
              </w:rPr>
              <w:fldChar w:fldCharType="begin" w:fldLock="1"/>
            </w:r>
            <w:r w:rsidR="00FA1FA2">
              <w:rPr>
                <w:rFonts w:asciiTheme="majorHAnsi" w:hAnsiTheme="majorHAnsi"/>
                <w:sz w:val="22"/>
                <w:szCs w:val="22"/>
              </w:rPr>
              <w:instrText>ADDIN CSL_CITATION { "citationItems" : [ { "id" : "ITEM-1", "itemData" : { "DOI" : "10.1016/j.giq.2004.05.001", "ISSN" : "0740624X", "author" : [ { "dropping-particle" : "", "family" : "McMillen", "given" : "David", "non-dropping-particle" : "", "parse-names" : false, "suffix" : "" } ], "container-title" : "Government Information Quarterly", "id" : "ITEM-1", "issue" : "3", "issued" : { "date-parts" : [ [ "2004", "1" ] ] }, "page" : "359-382", "title" : "Privacy, confidentiality, and data sharing: Issues and distinctions", "type" : "article-journal", "volume" : "21" }, "uris" : [ "http://www.mendeley.com/documents/?uuid=f0d18133-a3f0-419d-8317-75ee07080d97" ] } ], "mendeley" : { "formattedCitation" : "(McMillen, 2004)", "plainTextFormattedCitation" : "(McMillen, 2004)", "previouslyFormattedCitation" : "(McMillen, 2004)" }, "properties" : { "noteIndex" : 0 }, "schema" : "https://github.com/citation-style-language/schema/raw/master/csl-citation.json" }</w:instrText>
            </w:r>
            <w:r w:rsidR="000700CB">
              <w:rPr>
                <w:rFonts w:asciiTheme="majorHAnsi" w:hAnsiTheme="majorHAnsi"/>
                <w:sz w:val="22"/>
                <w:szCs w:val="22"/>
              </w:rPr>
              <w:fldChar w:fldCharType="separate"/>
            </w:r>
            <w:r w:rsidR="000700CB" w:rsidRPr="000700CB">
              <w:rPr>
                <w:rFonts w:asciiTheme="majorHAnsi" w:hAnsiTheme="majorHAnsi"/>
                <w:noProof/>
                <w:sz w:val="22"/>
                <w:szCs w:val="22"/>
              </w:rPr>
              <w:t>(McMillen, 2004)</w:t>
            </w:r>
            <w:r w:rsidR="000700CB">
              <w:rPr>
                <w:rFonts w:asciiTheme="majorHAnsi" w:hAnsiTheme="majorHAnsi"/>
                <w:sz w:val="22"/>
                <w:szCs w:val="22"/>
              </w:rPr>
              <w:fldChar w:fldCharType="end"/>
            </w:r>
            <w:r w:rsidR="00991F8F" w:rsidRPr="00064E58">
              <w:rPr>
                <w:rFonts w:asciiTheme="majorHAnsi" w:hAnsiTheme="majorHAnsi"/>
                <w:sz w:val="22"/>
                <w:szCs w:val="22"/>
              </w:rPr>
              <w:t>.</w:t>
            </w:r>
            <w:r w:rsidR="00991F8F">
              <w:rPr>
                <w:rFonts w:asciiTheme="majorHAnsi" w:hAnsiTheme="majorHAnsi"/>
                <w:sz w:val="22"/>
                <w:szCs w:val="22"/>
              </w:rPr>
              <w:t xml:space="preserve">  </w:t>
            </w:r>
            <w:r>
              <w:rPr>
                <w:rFonts w:asciiTheme="majorHAnsi" w:hAnsiTheme="majorHAnsi"/>
                <w:sz w:val="22"/>
                <w:szCs w:val="22"/>
              </w:rPr>
              <w:t>Others note</w:t>
            </w:r>
            <w:r w:rsidR="00064E58" w:rsidRPr="00064E58">
              <w:rPr>
                <w:rFonts w:asciiTheme="majorHAnsi" w:hAnsiTheme="majorHAnsi"/>
                <w:sz w:val="22"/>
                <w:szCs w:val="22"/>
              </w:rPr>
              <w:t xml:space="preserve"> that the public place trust in the ‘census office’ but express misgivings about the actual use</w:t>
            </w:r>
            <w:r>
              <w:rPr>
                <w:rFonts w:asciiTheme="majorHAnsi" w:hAnsiTheme="majorHAnsi"/>
                <w:sz w:val="22"/>
                <w:szCs w:val="22"/>
              </w:rPr>
              <w:t xml:space="preserve"> </w:t>
            </w:r>
            <w:r w:rsidR="00CF6A2B">
              <w:rPr>
                <w:rFonts w:asciiTheme="majorHAnsi" w:hAnsiTheme="majorHAnsi"/>
                <w:sz w:val="22"/>
                <w:szCs w:val="22"/>
              </w:rPr>
              <w:t>of census data</w:t>
            </w:r>
            <w:r w:rsidR="0049265D">
              <w:rPr>
                <w:rFonts w:asciiTheme="majorHAnsi" w:hAnsiTheme="majorHAnsi"/>
                <w:sz w:val="22"/>
                <w:szCs w:val="22"/>
              </w:rPr>
              <w:t xml:space="preserve"> </w:t>
            </w:r>
            <w:r w:rsidR="004E0A7E">
              <w:rPr>
                <w:rFonts w:asciiTheme="majorHAnsi" w:hAnsiTheme="majorHAnsi"/>
                <w:sz w:val="22"/>
                <w:szCs w:val="22"/>
              </w:rPr>
              <w:fldChar w:fldCharType="begin" w:fldLock="1"/>
            </w:r>
            <w:r w:rsidR="004E0A7E">
              <w:rPr>
                <w:rFonts w:asciiTheme="majorHAnsi" w:hAnsiTheme="majorHAnsi"/>
                <w:sz w:val="22"/>
                <w:szCs w:val="22"/>
              </w:rPr>
              <w:instrText>ADDIN CSL_CITATION { "citationItems" : [ { "id" : "ITEM-1", "itemData" : { "DOI" : "10.1111/insr.12036", "ISSN" : "03067734", "author" : [ { "dropping-particle" : "", "family" : "Baffour", "given" : "Bernard", "non-dropping-particle" : "", "parse-names" : false, "suffix" : "" }, { "dropping-particle" : "", "family" : "King", "given" : "Thomas", "non-dropping-particle" : "", "parse-names" : false, "suffix" : "" }, { "dropping-particle" : "", "family" : "Valente", "given" : "Paolo", "non-dropping-particle" : "", "parse-names" : false, "suffix" : "" } ], "container-title" : "International Statistical Review", "id" : "ITEM-1", "issue" : "3", "issued" : { "date-parts" : [ [ "2013", "12", "24" ] ] }, "page" : "407-425", "title" : "The Modern Census: Evolution, Examples and Evaluation", "type" : "article-journal", "volume" : "81" }, "uris" : [ "http://www.mendeley.com/documents/?uuid=a610ec33-f4de-4348-981f-5aea0ee31403" ] }, { "id" : "ITEM-2", "itemData" : { "DOI" : "10.1016/0740-624X(85)90068-1", "ISSN" : "0740624X", "abstract" : "The Census Bureau protects the confidentiality of census records with fervent adherence to the law and with sensitivity to public opinion. Within this framework, the Bureau uses advanced technology to store, transmit, and tabulate data. Because of the responsible manner in which the Bureau applies the new technology, no history of computer abuses exists in connection with the decennial censuses. Our intent in planning the upcoming census is to keep that record intact. This article describes how the agency assures the confidentiality of census information and what it knows about the public's perception of census confidentiality.", "author" : [ { "dropping-particle" : "", "family" : "Courtland", "given" : "Sherry", "non-dropping-particle" : "", "parse-names" : false, "suffix" : "" } ], "container-title" : "Government Information Quarterly", "id" : "ITEM-2", "issue" : "4", "issued" : { "date-parts" : [ [ "1985", "1" ] ] }, "page" : "407-418", "title" : "Census confidentiality: Then and now", "type" : "article-journal", "volume" : "2" }, "uris" : [ "http://www.mendeley.com/documents/?uuid=d8772daa-d828-4c4e-a75b-61b2f59ef3ae" ] }, { "id" : "ITEM-3", "itemData" : { "DOI" : "10.1086/377465", "ISBN" : "0033-362X", "ISSN" : "0033362X", "PMID" : "4906", "abstract" : "To what extent do concerns about privacy and confidentiality affect people\u2019s participation in surveys, in particular the largest U.S. survey, the decennial census? This study presents three separate estimates of the effect of attitudes on behavior. First, it estimates the effect of privacy and confidentiality concerns on willingness to provide an address to a Gallup interviewer. Second, based on the Census Bureau\u2019s matching of survey responses to its file of census returns, it estimates the effect of privacy and confidentiality concerns on respondents\u2019 return of their census form. Finally, it estimates these effects in one-person households. It concludes that concerns about privacy and confidentiality have a small but statistically significant effect in all three tests, explaining roughly the same amount of variance in the 2000 census as they had in 1990.", "author" : [ { "dropping-particle" : "", "family" : "Singer", "given" : "Eleanor", "non-dropping-particle" : "", "parse-names" : false, "suffix" : "" }, { "dropping-particle" : "", "family" : "Neugebauer", "given" : "Randall J.", "non-dropping-particle" : "", "parse-names" : false, "suffix" : "" } ], "container-title" : "Public Opinion Quarterly", "id" : "ITEM-3", "issue" : "2001", "issued" : { "date-parts" : [ [ "2003" ] ] }, "page" : "368-384", "title" : "Attitudes and Behavior the Impact of Privacy and Confidentiality Concerns on Participation in the 2000 Census", "type" : "article-journal", "volume" : "67" }, "uris" : [ "http://www.mendeley.com/documents/?uuid=9a0bcafe-8f34-459f-9dc6-f86cbb05c262" ] } ], "mendeley" : { "formattedCitation" : "(Baffour, King, &amp; Valente, 2013; Courtland, 1985; Singer &amp; Neugebauer, 2003)", "plainTextFormattedCitation" : "(Baffour, King, &amp; Valente, 2013; Courtland, 1985; Singer &amp; Neugebauer, 2003)", "previouslyFormattedCitation" : "(Baffour, King, &amp; Valente, 2013; Courtland, 1985; Singer &amp; Neugebauer, 2003)" }, "properties" : { "noteIndex" : 0 }, "schema" : "https://github.com/citation-style-language/schema/raw/master/csl-citation.json" }</w:instrText>
            </w:r>
            <w:r w:rsidR="004E0A7E">
              <w:rPr>
                <w:rFonts w:asciiTheme="majorHAnsi" w:hAnsiTheme="majorHAnsi"/>
                <w:sz w:val="22"/>
                <w:szCs w:val="22"/>
              </w:rPr>
              <w:fldChar w:fldCharType="separate"/>
            </w:r>
            <w:r w:rsidR="004E0A7E" w:rsidRPr="004E0A7E">
              <w:rPr>
                <w:rFonts w:asciiTheme="majorHAnsi" w:hAnsiTheme="majorHAnsi"/>
                <w:noProof/>
                <w:sz w:val="22"/>
                <w:szCs w:val="22"/>
              </w:rPr>
              <w:t>(Baffour, King, &amp; Valente, 2013; Courtland, 1985; Singer &amp; Neugebauer, 2003)</w:t>
            </w:r>
            <w:r w:rsidR="004E0A7E">
              <w:rPr>
                <w:rFonts w:asciiTheme="majorHAnsi" w:hAnsiTheme="majorHAnsi"/>
                <w:sz w:val="22"/>
                <w:szCs w:val="22"/>
              </w:rPr>
              <w:fldChar w:fldCharType="end"/>
            </w:r>
            <w:r w:rsidR="004E0A7E">
              <w:rPr>
                <w:rFonts w:asciiTheme="majorHAnsi" w:hAnsiTheme="majorHAnsi"/>
                <w:sz w:val="22"/>
                <w:szCs w:val="22"/>
              </w:rPr>
              <w:t>.</w:t>
            </w:r>
          </w:p>
          <w:p w:rsidR="00E15821" w:rsidRPr="00064E58" w:rsidRDefault="00E15821" w:rsidP="00D22C75">
            <w:pPr>
              <w:jc w:val="both"/>
              <w:rPr>
                <w:rFonts w:asciiTheme="majorHAnsi" w:hAnsiTheme="majorHAnsi"/>
                <w:sz w:val="22"/>
                <w:szCs w:val="22"/>
              </w:rPr>
            </w:pPr>
          </w:p>
          <w:p w:rsidR="00E15821" w:rsidRPr="00064E58" w:rsidRDefault="00E15821" w:rsidP="00D22C75">
            <w:pPr>
              <w:jc w:val="both"/>
              <w:rPr>
                <w:rFonts w:asciiTheme="majorHAnsi" w:hAnsiTheme="majorHAnsi"/>
                <w:sz w:val="22"/>
                <w:szCs w:val="22"/>
              </w:rPr>
            </w:pPr>
            <w:r w:rsidRPr="00064E58">
              <w:rPr>
                <w:rFonts w:asciiTheme="majorHAnsi" w:hAnsiTheme="majorHAnsi"/>
                <w:sz w:val="22"/>
                <w:szCs w:val="22"/>
              </w:rPr>
              <w:t xml:space="preserve">Finally, the complex and costly data systems required </w:t>
            </w:r>
            <w:r>
              <w:rPr>
                <w:rFonts w:asciiTheme="majorHAnsi" w:hAnsiTheme="majorHAnsi"/>
                <w:sz w:val="22"/>
                <w:szCs w:val="22"/>
              </w:rPr>
              <w:t>to collect</w:t>
            </w:r>
            <w:r w:rsidRPr="00064E58">
              <w:rPr>
                <w:rFonts w:asciiTheme="majorHAnsi" w:hAnsiTheme="majorHAnsi"/>
                <w:sz w:val="22"/>
                <w:szCs w:val="22"/>
              </w:rPr>
              <w:t xml:space="preserve"> census data is likely to result in the outsourcing of elements of the </w:t>
            </w:r>
            <w:r>
              <w:rPr>
                <w:rFonts w:asciiTheme="majorHAnsi" w:hAnsiTheme="majorHAnsi"/>
                <w:sz w:val="22"/>
                <w:szCs w:val="22"/>
              </w:rPr>
              <w:t xml:space="preserve">online </w:t>
            </w:r>
            <w:r w:rsidR="00CF6A2B">
              <w:rPr>
                <w:rFonts w:asciiTheme="majorHAnsi" w:hAnsiTheme="majorHAnsi"/>
                <w:sz w:val="22"/>
                <w:szCs w:val="22"/>
              </w:rPr>
              <w:t xml:space="preserve">census.  </w:t>
            </w:r>
            <w:r w:rsidRPr="00064E58">
              <w:rPr>
                <w:rFonts w:asciiTheme="majorHAnsi" w:hAnsiTheme="majorHAnsi"/>
                <w:sz w:val="22"/>
                <w:szCs w:val="22"/>
              </w:rPr>
              <w:t>Based on procurement protocols</w:t>
            </w:r>
            <w:r w:rsidR="0049265D">
              <w:rPr>
                <w:rFonts w:asciiTheme="majorHAnsi" w:hAnsiTheme="majorHAnsi"/>
                <w:sz w:val="22"/>
                <w:szCs w:val="22"/>
              </w:rPr>
              <w:t>,</w:t>
            </w:r>
            <w:r w:rsidRPr="00064E58">
              <w:rPr>
                <w:rFonts w:asciiTheme="majorHAnsi" w:hAnsiTheme="majorHAnsi"/>
                <w:sz w:val="22"/>
                <w:szCs w:val="22"/>
              </w:rPr>
              <w:t xml:space="preserve"> this creates the conditions for the private sector and non-UK based companies to have full access to sensitive census data.  </w:t>
            </w:r>
            <w:r>
              <w:rPr>
                <w:rFonts w:asciiTheme="majorHAnsi" w:hAnsiTheme="majorHAnsi"/>
                <w:sz w:val="22"/>
                <w:szCs w:val="22"/>
              </w:rPr>
              <w:t>The literature</w:t>
            </w:r>
            <w:r w:rsidRPr="00064E58">
              <w:rPr>
                <w:rFonts w:asciiTheme="majorHAnsi" w:hAnsiTheme="majorHAnsi"/>
                <w:sz w:val="22"/>
                <w:szCs w:val="22"/>
              </w:rPr>
              <w:t xml:space="preserve"> suggests that the involvement of private organisations in processing census data could harm the levels of public trust in the census</w:t>
            </w:r>
            <w:r>
              <w:rPr>
                <w:rFonts w:asciiTheme="majorHAnsi" w:hAnsiTheme="majorHAnsi"/>
                <w:sz w:val="22"/>
                <w:szCs w:val="22"/>
              </w:rPr>
              <w:t xml:space="preserve"> </w:t>
            </w:r>
            <w:r w:rsidRPr="00064E58">
              <w:rPr>
                <w:rFonts w:asciiTheme="majorHAnsi" w:hAnsiTheme="majorHAnsi"/>
                <w:sz w:val="22"/>
                <w:szCs w:val="22"/>
              </w:rPr>
              <w:t>(</w:t>
            </w:r>
            <w:r>
              <w:rPr>
                <w:rFonts w:asciiTheme="majorHAnsi" w:hAnsiTheme="majorHAnsi"/>
                <w:sz w:val="22"/>
                <w:szCs w:val="22"/>
              </w:rPr>
              <w:fldChar w:fldCharType="begin" w:fldLock="1"/>
            </w:r>
            <w:r>
              <w:rPr>
                <w:rFonts w:asciiTheme="majorHAnsi" w:hAnsiTheme="majorHAnsi"/>
                <w:sz w:val="22"/>
                <w:szCs w:val="22"/>
              </w:rPr>
              <w:instrText>ADDIN CSL_CITATION { "citationItems" : [ { "id" : "ITEM-1", "itemData" : { "DOI" : "10.1108/14684520910969871", "ISSN" : "1468-4527", "author" : [ { "dropping-particle" : "", "family" : "Cullen", "given" : "Rowena", "non-dropping-particle" : "", "parse-names" : false, "suffix" : "" } ], "container-title" : "Online Information Review", "id" : "ITEM-1", "issue" : "3", "issued" : { "date-parts" : [ [ "2009" ] ] }, "page" : "405-421", "title" : "Culture, identity and information privacy in the age of digital government", "type" : "article-journal", "volume" : "33" }, "uris" : [ "http://www.mendeley.com/documents/?uuid=942f0779-fe89-4ac9-856e-f69626a0ea57" ] }, { "id" : "ITEM-2", "itemData" : { "DOI" : "10.1080/19331680801915066", "ISBN" : "1933168080", "ISSN" : "1933-1681", "abstract" : "Increasing use of e-government raises issues about the privacy of information provided by citizens to government. This paper explores the experiences and concerns of New Zealanders in relation to information privacy, and the impact of these concerns on the trust they place in government. A series of focus groups were conducted among community groups. The findings reflect a range of attitudes about information privacy and the trustworthiness of government, and center around two major themes: the use of technology and concerns about the competency of and practices of government employees. Most respondents were unaware of their existing protections; preferred face to face communication; had low levels of confidence in the privacy of online communication but made use of it for convenience sake; and had greater confidence in government than in commercial organizations but made distinctions between individual agencies. Breaches of privacy were shown to have a negative impact on trust in government.", "author" : [ { "dropping-particle" : "", "family" : "Cullen", "given" : "Rowena", "non-dropping-particle" : "", "parse-names" : false, "suffix" : "" }, { "dropping-particle" : "", "family" : "Reilly", "given" : "Patrick", "non-dropping-particle" : "", "parse-names" : false, "suffix" : "" } ], "container-title" : "Journal of Information Technology &amp; Politics", "id" : "ITEM-2", "issued" : { "date-parts" : [ [ "2008" ] ] }, "page" : "61-80", "title" : "Information Privacy and Trust in Government: A Citizen-Based Perspective from New Zealand", "type" : "article", "volume" : "4" }, "uris" : [ "http://www.mendeley.com/documents/?uuid=a9bd4ca0-f453-4fac-9c97-583393b22c9f" ] } ], "mendeley" : { "formattedCitation" : "(Cullen &amp; Reilly, 2008; Cullen, 2009)", "manualFormatting" : "Cullen &amp; Reilly, 2008; Cullen, 2009)", "plainTextFormattedCitation" : "(Cullen &amp; Reilly, 2008; Cullen, 2009)", "previouslyFormattedCitation" : "(Cullen &amp; Reilly, 2008; Cullen, 2009)" }, "properties" : { "noteIndex" : 0 }, "schema" : "https://github.com/citation-style-language/schema/raw/master/csl-citation.json" }</w:instrText>
            </w:r>
            <w:r>
              <w:rPr>
                <w:rFonts w:asciiTheme="majorHAnsi" w:hAnsiTheme="majorHAnsi"/>
                <w:sz w:val="22"/>
                <w:szCs w:val="22"/>
              </w:rPr>
              <w:fldChar w:fldCharType="separate"/>
            </w:r>
            <w:r w:rsidRPr="00FA3216">
              <w:rPr>
                <w:rFonts w:asciiTheme="majorHAnsi" w:hAnsiTheme="majorHAnsi"/>
                <w:noProof/>
                <w:sz w:val="22"/>
                <w:szCs w:val="22"/>
              </w:rPr>
              <w:t>Cullen &amp; Reilly, 2008; Cullen, 2009)</w:t>
            </w:r>
            <w:r>
              <w:rPr>
                <w:rFonts w:asciiTheme="majorHAnsi" w:hAnsiTheme="majorHAnsi"/>
                <w:sz w:val="22"/>
                <w:szCs w:val="22"/>
              </w:rPr>
              <w:fldChar w:fldCharType="end"/>
            </w:r>
            <w:r w:rsidRPr="00064E58">
              <w:rPr>
                <w:rFonts w:asciiTheme="majorHAnsi" w:hAnsiTheme="majorHAnsi"/>
                <w:sz w:val="22"/>
                <w:szCs w:val="22"/>
              </w:rPr>
              <w:t xml:space="preserve">. </w:t>
            </w:r>
          </w:p>
          <w:p w:rsidR="00E15821" w:rsidRPr="00064E58" w:rsidRDefault="00E15821" w:rsidP="00D22C75">
            <w:pPr>
              <w:jc w:val="both"/>
              <w:rPr>
                <w:rFonts w:asciiTheme="majorHAnsi" w:hAnsiTheme="majorHAnsi"/>
                <w:sz w:val="22"/>
                <w:szCs w:val="22"/>
              </w:rPr>
            </w:pPr>
          </w:p>
          <w:p w:rsidR="00064E58" w:rsidRDefault="004C6534" w:rsidP="00D22C75">
            <w:pPr>
              <w:jc w:val="both"/>
              <w:rPr>
                <w:rFonts w:asciiTheme="majorHAnsi" w:hAnsiTheme="majorHAnsi"/>
                <w:sz w:val="22"/>
                <w:szCs w:val="22"/>
              </w:rPr>
            </w:pPr>
            <w:r>
              <w:rPr>
                <w:rFonts w:asciiTheme="majorHAnsi" w:hAnsiTheme="majorHAnsi"/>
                <w:sz w:val="22"/>
                <w:szCs w:val="22"/>
              </w:rPr>
              <w:t>This study found that</w:t>
            </w:r>
            <w:r w:rsidR="00E15821" w:rsidRPr="00064E58">
              <w:rPr>
                <w:rFonts w:asciiTheme="majorHAnsi" w:hAnsiTheme="majorHAnsi"/>
                <w:sz w:val="22"/>
                <w:szCs w:val="22"/>
              </w:rPr>
              <w:t xml:space="preserve"> survey respondents </w:t>
            </w:r>
            <w:r>
              <w:rPr>
                <w:rFonts w:asciiTheme="majorHAnsi" w:hAnsiTheme="majorHAnsi"/>
                <w:sz w:val="22"/>
                <w:szCs w:val="22"/>
              </w:rPr>
              <w:t>are</w:t>
            </w:r>
            <w:r w:rsidRPr="00064E58">
              <w:rPr>
                <w:rFonts w:asciiTheme="majorHAnsi" w:hAnsiTheme="majorHAnsi"/>
                <w:sz w:val="22"/>
                <w:szCs w:val="22"/>
              </w:rPr>
              <w:t xml:space="preserve"> </w:t>
            </w:r>
            <w:r w:rsidR="00E15821" w:rsidRPr="00064E58">
              <w:rPr>
                <w:rFonts w:asciiTheme="majorHAnsi" w:hAnsiTheme="majorHAnsi"/>
                <w:sz w:val="22"/>
                <w:szCs w:val="22"/>
              </w:rPr>
              <w:t xml:space="preserve">not content with private sector companies handling census data.  When asked specifically about UK-based private sector firms </w:t>
            </w:r>
            <w:r w:rsidR="00851CA8">
              <w:rPr>
                <w:rFonts w:asciiTheme="majorHAnsi" w:hAnsiTheme="majorHAnsi"/>
                <w:sz w:val="22"/>
                <w:szCs w:val="22"/>
              </w:rPr>
              <w:t>47</w:t>
            </w:r>
            <w:r w:rsidR="00E15821" w:rsidRPr="00064E58">
              <w:rPr>
                <w:rFonts w:asciiTheme="majorHAnsi" w:hAnsiTheme="majorHAnsi"/>
                <w:sz w:val="22"/>
                <w:szCs w:val="22"/>
              </w:rPr>
              <w:t>% stated that they were not comfortable with such com</w:t>
            </w:r>
            <w:r w:rsidR="00CF6A2B">
              <w:rPr>
                <w:rFonts w:asciiTheme="majorHAnsi" w:hAnsiTheme="majorHAnsi"/>
                <w:sz w:val="22"/>
                <w:szCs w:val="22"/>
              </w:rPr>
              <w:t xml:space="preserve">panies processing their data.  </w:t>
            </w:r>
            <w:r w:rsidR="00E15821" w:rsidRPr="00E15821">
              <w:rPr>
                <w:rFonts w:asciiTheme="majorHAnsi" w:hAnsiTheme="majorHAnsi"/>
                <w:sz w:val="22"/>
                <w:szCs w:val="22"/>
              </w:rPr>
              <w:t>When asked about their attitudes regarding non-UK based companies handling the data ther</w:t>
            </w:r>
            <w:r w:rsidR="00CF6A2B">
              <w:rPr>
                <w:rFonts w:asciiTheme="majorHAnsi" w:hAnsiTheme="majorHAnsi"/>
                <w:sz w:val="22"/>
                <w:szCs w:val="22"/>
              </w:rPr>
              <w:t xml:space="preserve">e was a marked shift </w:t>
            </w:r>
            <w:r w:rsidR="00851CA8">
              <w:rPr>
                <w:rFonts w:asciiTheme="majorHAnsi" w:hAnsiTheme="majorHAnsi"/>
                <w:sz w:val="22"/>
                <w:szCs w:val="22"/>
              </w:rPr>
              <w:t>77</w:t>
            </w:r>
            <w:r w:rsidR="00E15821" w:rsidRPr="00E15821">
              <w:rPr>
                <w:rFonts w:asciiTheme="majorHAnsi" w:hAnsiTheme="majorHAnsi"/>
                <w:sz w:val="22"/>
                <w:szCs w:val="22"/>
              </w:rPr>
              <w:t>% stating that they would not be comfortable with foreign companie</w:t>
            </w:r>
            <w:r w:rsidR="00CF6A2B">
              <w:rPr>
                <w:rFonts w:asciiTheme="majorHAnsi" w:hAnsiTheme="majorHAnsi"/>
                <w:sz w:val="22"/>
                <w:szCs w:val="22"/>
              </w:rPr>
              <w:t xml:space="preserve">s handling their census data.  </w:t>
            </w:r>
            <w:r w:rsidR="00E15821" w:rsidRPr="00E15821">
              <w:rPr>
                <w:rFonts w:asciiTheme="majorHAnsi" w:hAnsiTheme="majorHAnsi"/>
                <w:sz w:val="22"/>
                <w:szCs w:val="22"/>
              </w:rPr>
              <w:t>The respondent's strength of objection to private sector companies handling census data is</w:t>
            </w:r>
            <w:r w:rsidR="00E15821" w:rsidRPr="00064E58">
              <w:rPr>
                <w:rFonts w:asciiTheme="majorHAnsi" w:hAnsiTheme="majorHAnsi"/>
                <w:sz w:val="22"/>
                <w:szCs w:val="22"/>
              </w:rPr>
              <w:t xml:space="preserve"> con</w:t>
            </w:r>
            <w:r w:rsidR="00CF6A2B">
              <w:rPr>
                <w:rFonts w:asciiTheme="majorHAnsi" w:hAnsiTheme="majorHAnsi"/>
                <w:sz w:val="22"/>
                <w:szCs w:val="22"/>
              </w:rPr>
              <w:t>sistent with the work of Cullen</w:t>
            </w:r>
            <w:r w:rsidR="0049265D">
              <w:rPr>
                <w:rFonts w:asciiTheme="majorHAnsi" w:hAnsiTheme="majorHAnsi"/>
                <w:sz w:val="22"/>
                <w:szCs w:val="22"/>
              </w:rPr>
              <w:t xml:space="preserve"> </w:t>
            </w:r>
            <w:r w:rsidR="00E15821" w:rsidRPr="00064E58">
              <w:rPr>
                <w:rFonts w:asciiTheme="majorHAnsi" w:hAnsiTheme="majorHAnsi"/>
                <w:sz w:val="22"/>
                <w:szCs w:val="22"/>
              </w:rPr>
              <w:t xml:space="preserve">(2008) and suggests that </w:t>
            </w:r>
            <w:r>
              <w:rPr>
                <w:rFonts w:asciiTheme="majorHAnsi" w:hAnsiTheme="majorHAnsi"/>
                <w:sz w:val="22"/>
                <w:szCs w:val="22"/>
              </w:rPr>
              <w:t xml:space="preserve">outsourcing of data processing is a risk to </w:t>
            </w:r>
            <w:r w:rsidR="00E15821" w:rsidRPr="00064E58">
              <w:rPr>
                <w:rFonts w:asciiTheme="majorHAnsi" w:hAnsiTheme="majorHAnsi"/>
                <w:sz w:val="22"/>
                <w:szCs w:val="22"/>
              </w:rPr>
              <w:t>public participation</w:t>
            </w:r>
            <w:r w:rsidR="00E15821">
              <w:rPr>
                <w:rFonts w:asciiTheme="majorHAnsi" w:hAnsiTheme="majorHAnsi"/>
                <w:sz w:val="22"/>
                <w:szCs w:val="22"/>
              </w:rPr>
              <w:t xml:space="preserve"> in the population census</w:t>
            </w:r>
            <w:r>
              <w:rPr>
                <w:rFonts w:asciiTheme="majorHAnsi" w:hAnsiTheme="majorHAnsi"/>
                <w:sz w:val="22"/>
                <w:szCs w:val="22"/>
              </w:rPr>
              <w:t>.</w:t>
            </w:r>
          </w:p>
          <w:p w:rsidR="00E15821" w:rsidRPr="00064E58" w:rsidRDefault="00E15821" w:rsidP="00D22C75">
            <w:pPr>
              <w:jc w:val="both"/>
              <w:rPr>
                <w:rFonts w:asciiTheme="majorHAnsi" w:hAnsiTheme="majorHAnsi"/>
                <w:sz w:val="22"/>
                <w:szCs w:val="22"/>
              </w:rPr>
            </w:pPr>
          </w:p>
          <w:p w:rsidR="004C6534" w:rsidRDefault="00064E58" w:rsidP="00D22C75">
            <w:pPr>
              <w:jc w:val="both"/>
              <w:rPr>
                <w:rFonts w:asciiTheme="majorHAnsi" w:hAnsiTheme="majorHAnsi"/>
                <w:sz w:val="22"/>
                <w:szCs w:val="22"/>
              </w:rPr>
            </w:pPr>
            <w:r w:rsidRPr="00064E58">
              <w:rPr>
                <w:rFonts w:asciiTheme="majorHAnsi" w:hAnsiTheme="majorHAnsi"/>
                <w:sz w:val="22"/>
                <w:szCs w:val="22"/>
              </w:rPr>
              <w:t xml:space="preserve">The literature suggests that public participation in the (UK) census could be adversely affected by the potential for data breaches </w:t>
            </w:r>
            <w:r w:rsidR="004C6534">
              <w:rPr>
                <w:rFonts w:asciiTheme="majorHAnsi" w:hAnsiTheme="majorHAnsi"/>
                <w:sz w:val="22"/>
                <w:szCs w:val="22"/>
              </w:rPr>
              <w:t>or the perceived misuse of census data</w:t>
            </w:r>
            <w:r w:rsidR="0049265D">
              <w:rPr>
                <w:rFonts w:asciiTheme="majorHAnsi" w:hAnsiTheme="majorHAnsi"/>
                <w:sz w:val="22"/>
                <w:szCs w:val="22"/>
              </w:rPr>
              <w:t xml:space="preserve"> </w:t>
            </w:r>
            <w:r w:rsidR="004E0A7E">
              <w:rPr>
                <w:rFonts w:asciiTheme="majorHAnsi" w:hAnsiTheme="majorHAnsi"/>
                <w:sz w:val="22"/>
                <w:szCs w:val="22"/>
              </w:rPr>
              <w:fldChar w:fldCharType="begin" w:fldLock="1"/>
            </w:r>
            <w:r w:rsidR="004E0A7E">
              <w:rPr>
                <w:rFonts w:asciiTheme="majorHAnsi" w:hAnsiTheme="majorHAnsi"/>
                <w:sz w:val="22"/>
                <w:szCs w:val="22"/>
              </w:rPr>
              <w:instrText>ADDIN CSL_CITATION { "citationItems" : [ { "id" : "ITEM-1", "itemData" : { "DOI" : "10.1080/01972243.2012.709479", "ISSN" : "0197-2243", "abstract" : "Along with informed consent, anonymization is an accepted method of protecting the interests of research participants, while allowing data collected for official statistical purposes to be reused by other agencies within and outside government. The Decennial Census, carried out in a number of countries, including the United Kingdom, is a major event in the production of research data and provides an important resource for a variety of organizations. This article combines ethical evaluation, a review of relevant law and guidance, and analysis of 30 qualitative interviews (carried out during the period of the 2001 UK Census), in order to explore the adequacy of the current framework for the protection of informational privacy in relation to census data. Taking account of Nissenbaum's concept of \"contextual integrity,\" Vedder's concept of \"categorical privacy,\" and Sen's call to heed of the importance of \"actual behavior,\" it will be argued that the current \"contractarian\" view of the relationship between an individual participant and the organization carrying out the Census does not engage sufficiently with actual uses of data. As a result, people have expectations of privacy that are not matched by practice and that the current normative -- including the governance -- framework cannot capture. [PUBLICATION ABSTRACT]", "author" : [ { "dropping-particle" : "", "family" : "Heeney", "given" : "Catherine", "non-dropping-particle" : "", "parse-names" : false, "suffix" : "" } ], "container-title" : "The Information Society", "id" : "ITEM-1", "issued" : { "date-parts" : [ [ "2012" ] ] }, "page" : "316-328", "title" : "Breaching the Contract? Privacy and the UK Census", "type" : "article", "volume" : "28" }, "uris" : [ "http://www.mendeley.com/documents/?uuid=6b19ef14-7a04-4069-9caf-74b03afd1011" ] } ], "mendeley" : { "formattedCitation" : "(Heeney, 2012)", "plainTextFormattedCitation" : "(Heeney, 2012)", "previouslyFormattedCitation" : "(Heeney, 2012)" }, "properties" : { "noteIndex" : 0 }, "schema" : "https://github.com/citation-style-language/schema/raw/master/csl-citation.json" }</w:instrText>
            </w:r>
            <w:r w:rsidR="004E0A7E">
              <w:rPr>
                <w:rFonts w:asciiTheme="majorHAnsi" w:hAnsiTheme="majorHAnsi"/>
                <w:sz w:val="22"/>
                <w:szCs w:val="22"/>
              </w:rPr>
              <w:fldChar w:fldCharType="separate"/>
            </w:r>
            <w:r w:rsidR="004E0A7E" w:rsidRPr="004E0A7E">
              <w:rPr>
                <w:rFonts w:asciiTheme="majorHAnsi" w:hAnsiTheme="majorHAnsi"/>
                <w:noProof/>
                <w:sz w:val="22"/>
                <w:szCs w:val="22"/>
              </w:rPr>
              <w:t>(Heeney, 2012)</w:t>
            </w:r>
            <w:r w:rsidR="004E0A7E">
              <w:rPr>
                <w:rFonts w:asciiTheme="majorHAnsi" w:hAnsiTheme="majorHAnsi"/>
                <w:sz w:val="22"/>
                <w:szCs w:val="22"/>
              </w:rPr>
              <w:fldChar w:fldCharType="end"/>
            </w:r>
            <w:r w:rsidRPr="00064E58">
              <w:rPr>
                <w:rFonts w:asciiTheme="majorHAnsi" w:hAnsiTheme="majorHAnsi"/>
                <w:sz w:val="22"/>
                <w:szCs w:val="22"/>
              </w:rPr>
              <w:t xml:space="preserve">. There are no reported instances of census data abuses in the UK, and the Scottish </w:t>
            </w:r>
            <w:r w:rsidR="006F017C">
              <w:rPr>
                <w:rFonts w:asciiTheme="majorHAnsi" w:hAnsiTheme="majorHAnsi"/>
                <w:sz w:val="22"/>
                <w:szCs w:val="22"/>
              </w:rPr>
              <w:t>c</w:t>
            </w:r>
            <w:r w:rsidR="006F017C" w:rsidRPr="00064E58">
              <w:rPr>
                <w:rFonts w:asciiTheme="majorHAnsi" w:hAnsiTheme="majorHAnsi"/>
                <w:sz w:val="22"/>
                <w:szCs w:val="22"/>
              </w:rPr>
              <w:t xml:space="preserve">ensus </w:t>
            </w:r>
            <w:r w:rsidRPr="00064E58">
              <w:rPr>
                <w:rFonts w:asciiTheme="majorHAnsi" w:hAnsiTheme="majorHAnsi"/>
                <w:sz w:val="22"/>
                <w:szCs w:val="22"/>
              </w:rPr>
              <w:t xml:space="preserve">office assures the public of the right to confidentiality.  Furthermore, a privacy impact assessment of the census highlights its confidential nature and the robust data control measures in place.  However, </w:t>
            </w:r>
            <w:r w:rsidR="009F75C3">
              <w:rPr>
                <w:rFonts w:asciiTheme="majorHAnsi" w:hAnsiTheme="majorHAnsi"/>
                <w:sz w:val="22"/>
                <w:szCs w:val="22"/>
              </w:rPr>
              <w:t>T</w:t>
            </w:r>
            <w:r w:rsidRPr="00064E58">
              <w:rPr>
                <w:rFonts w:asciiTheme="majorHAnsi" w:hAnsiTheme="majorHAnsi"/>
                <w:sz w:val="22"/>
                <w:szCs w:val="22"/>
              </w:rPr>
              <w:t xml:space="preserve">he Statistics and Registration Service Act 2007 provides an exception, allowing </w:t>
            </w:r>
            <w:r w:rsidR="000E43B5">
              <w:rPr>
                <w:rFonts w:asciiTheme="majorHAnsi" w:hAnsiTheme="majorHAnsi"/>
                <w:sz w:val="22"/>
                <w:szCs w:val="22"/>
              </w:rPr>
              <w:t>prior access to statistics by other government agencies</w:t>
            </w:r>
            <w:r w:rsidR="0049265D">
              <w:rPr>
                <w:rFonts w:asciiTheme="majorHAnsi" w:hAnsiTheme="majorHAnsi"/>
                <w:sz w:val="22"/>
                <w:szCs w:val="22"/>
              </w:rPr>
              <w:t xml:space="preserve"> </w:t>
            </w:r>
            <w:r w:rsidR="000E43B5">
              <w:rPr>
                <w:rFonts w:asciiTheme="majorHAnsi" w:hAnsiTheme="majorHAnsi"/>
                <w:sz w:val="22"/>
                <w:szCs w:val="22"/>
              </w:rPr>
              <w:fldChar w:fldCharType="begin" w:fldLock="1"/>
            </w:r>
            <w:r w:rsidR="00E3253B">
              <w:rPr>
                <w:rFonts w:asciiTheme="majorHAnsi" w:hAnsiTheme="majorHAnsi"/>
                <w:sz w:val="22"/>
                <w:szCs w:val="22"/>
              </w:rPr>
              <w:instrText>ADDIN CSL_CITATION { "citationItems" : [ { "id" : "ITEM-1", "itemData" : { "DOI" : "10.1111/j.1740-9713.2007.00264.x", "ISSN" : "17409705", "author" : [ { "dropping-particle" : "", "family" : "Holt", "given" : "Tim", "non-dropping-particle" : "", "parse-names" : false, "suffix" : "" } ], "container-title" : "Significance", "id" : "ITEM-1", "issue" : "4", "issued" : { "date-parts" : [ [ "2007", "12", "10" ] ] }, "page" : "182-183", "title" : "The Statistics and Registration Service Act", "type" : "article-journal", "volume" : "4" }, "uris" : [ "http://www.mendeley.com/documents/?uuid=874d696f-ca1c-43f1-9b34-d125a8432b2a" ] } ], "mendeley" : { "formattedCitation" : "(Holt, 2007)", "plainTextFormattedCitation" : "(Holt, 2007)", "previouslyFormattedCitation" : "(Holt, 2007)" }, "properties" : { "noteIndex" : 0 }, "schema" : "https://github.com/citation-style-language/schema/raw/master/csl-citation.json" }</w:instrText>
            </w:r>
            <w:r w:rsidR="000E43B5">
              <w:rPr>
                <w:rFonts w:asciiTheme="majorHAnsi" w:hAnsiTheme="majorHAnsi"/>
                <w:sz w:val="22"/>
                <w:szCs w:val="22"/>
              </w:rPr>
              <w:fldChar w:fldCharType="separate"/>
            </w:r>
            <w:r w:rsidR="000E43B5" w:rsidRPr="000E43B5">
              <w:rPr>
                <w:rFonts w:asciiTheme="majorHAnsi" w:hAnsiTheme="majorHAnsi"/>
                <w:noProof/>
                <w:sz w:val="22"/>
                <w:szCs w:val="22"/>
              </w:rPr>
              <w:t>(Holt, 2007)</w:t>
            </w:r>
            <w:r w:rsidR="000E43B5">
              <w:rPr>
                <w:rFonts w:asciiTheme="majorHAnsi" w:hAnsiTheme="majorHAnsi"/>
                <w:sz w:val="22"/>
                <w:szCs w:val="22"/>
              </w:rPr>
              <w:fldChar w:fldCharType="end"/>
            </w:r>
            <w:r w:rsidR="00CF6A2B">
              <w:rPr>
                <w:rFonts w:asciiTheme="majorHAnsi" w:hAnsiTheme="majorHAnsi"/>
                <w:sz w:val="22"/>
                <w:szCs w:val="22"/>
              </w:rPr>
              <w:t xml:space="preserve">.  </w:t>
            </w:r>
            <w:r w:rsidR="000E43B5">
              <w:rPr>
                <w:rFonts w:asciiTheme="majorHAnsi" w:hAnsiTheme="majorHAnsi"/>
                <w:sz w:val="22"/>
                <w:szCs w:val="22"/>
              </w:rPr>
              <w:t>This</w:t>
            </w:r>
            <w:r w:rsidR="000E43B5" w:rsidRPr="00064E58">
              <w:rPr>
                <w:rFonts w:asciiTheme="majorHAnsi" w:hAnsiTheme="majorHAnsi"/>
                <w:sz w:val="22"/>
                <w:szCs w:val="22"/>
              </w:rPr>
              <w:t xml:space="preserve"> </w:t>
            </w:r>
            <w:r w:rsidRPr="00064E58">
              <w:rPr>
                <w:rFonts w:asciiTheme="majorHAnsi" w:hAnsiTheme="majorHAnsi"/>
                <w:sz w:val="22"/>
                <w:szCs w:val="22"/>
              </w:rPr>
              <w:t xml:space="preserve">is an important provision, particularly in the context of </w:t>
            </w:r>
            <w:r w:rsidR="00FA1FA2">
              <w:rPr>
                <w:rFonts w:asciiTheme="majorHAnsi" w:hAnsiTheme="majorHAnsi"/>
                <w:sz w:val="22"/>
                <w:szCs w:val="22"/>
              </w:rPr>
              <w:t xml:space="preserve">policy responses to the </w:t>
            </w:r>
            <w:r w:rsidRPr="00064E58">
              <w:rPr>
                <w:rFonts w:asciiTheme="majorHAnsi" w:hAnsiTheme="majorHAnsi"/>
                <w:sz w:val="22"/>
                <w:szCs w:val="22"/>
              </w:rPr>
              <w:t>current heightened</w:t>
            </w:r>
            <w:r w:rsidR="00FA1FA2">
              <w:rPr>
                <w:rFonts w:asciiTheme="majorHAnsi" w:hAnsiTheme="majorHAnsi"/>
                <w:sz w:val="22"/>
                <w:szCs w:val="22"/>
              </w:rPr>
              <w:t xml:space="preserve"> terror</w:t>
            </w:r>
            <w:r w:rsidRPr="00064E58">
              <w:rPr>
                <w:rFonts w:asciiTheme="majorHAnsi" w:hAnsiTheme="majorHAnsi"/>
                <w:sz w:val="22"/>
                <w:szCs w:val="22"/>
              </w:rPr>
              <w:t xml:space="preserve"> threats </w:t>
            </w:r>
            <w:r w:rsidR="00FA1FA2">
              <w:rPr>
                <w:rFonts w:asciiTheme="majorHAnsi" w:hAnsiTheme="majorHAnsi"/>
                <w:sz w:val="22"/>
                <w:szCs w:val="22"/>
              </w:rPr>
              <w:t>in the UK</w:t>
            </w:r>
            <w:r w:rsidR="0049265D">
              <w:rPr>
                <w:rFonts w:asciiTheme="majorHAnsi" w:hAnsiTheme="majorHAnsi"/>
                <w:sz w:val="22"/>
                <w:szCs w:val="22"/>
              </w:rPr>
              <w:t xml:space="preserve"> </w:t>
            </w:r>
            <w:r w:rsidR="00FA1FA2">
              <w:rPr>
                <w:rFonts w:asciiTheme="majorHAnsi" w:hAnsiTheme="majorHAnsi"/>
                <w:sz w:val="22"/>
                <w:szCs w:val="22"/>
              </w:rPr>
              <w:fldChar w:fldCharType="begin" w:fldLock="1"/>
            </w:r>
            <w:r w:rsidR="00FA1FA2">
              <w:rPr>
                <w:rFonts w:asciiTheme="majorHAnsi" w:hAnsiTheme="majorHAnsi"/>
                <w:sz w:val="22"/>
                <w:szCs w:val="22"/>
              </w:rPr>
              <w:instrText>ADDIN CSL_CITATION { "citationItems" : [ { "id" : "ITEM-1", "itemData" : { "DOI" : "10.1163/15718166-12342100", "ISSN" : "1388-364X", "author" : [ { "dropping-particle" : "", "family" : "Zedner", "given" : "Lucia", "non-dropping-particle" : "", "parse-names" : false, "suffix" : "" } ], "container-title" : "European Journal of Migration and Law", "id" : "ITEM-1", "issue" : "2", "issued" : { "date-parts" : [ [ "2016" ] ] }, "page" : "222-242", "title" : "Citizenship Deprivation, Security and Human Rights", "type" : "article-journal", "volume" : "18" }, "uris" : [ "http://www.mendeley.com/documents/?uuid=5bdc6e3e-2fae-4c64-8373-fd927cee8cb6" ] } ], "mendeley" : { "formattedCitation" : "(Zedner, 2016)", "manualFormatting" : "(e.g. Zedner, 2016)", "plainTextFormattedCitation" : "(Zedner, 2016)", "previouslyFormattedCitation" : "(Zedner, 2016)" }, "properties" : { "noteIndex" : 0 }, "schema" : "https://github.com/citation-style-language/schema/raw/master/csl-citation.json" }</w:instrText>
            </w:r>
            <w:r w:rsidR="00FA1FA2">
              <w:rPr>
                <w:rFonts w:asciiTheme="majorHAnsi" w:hAnsiTheme="majorHAnsi"/>
                <w:sz w:val="22"/>
                <w:szCs w:val="22"/>
              </w:rPr>
              <w:fldChar w:fldCharType="separate"/>
            </w:r>
            <w:r w:rsidR="00FA1FA2" w:rsidRPr="00FA1FA2">
              <w:rPr>
                <w:rFonts w:asciiTheme="majorHAnsi" w:hAnsiTheme="majorHAnsi"/>
                <w:noProof/>
                <w:sz w:val="22"/>
                <w:szCs w:val="22"/>
              </w:rPr>
              <w:t>(</w:t>
            </w:r>
            <w:r w:rsidR="00FA1FA2">
              <w:rPr>
                <w:rFonts w:asciiTheme="majorHAnsi" w:hAnsiTheme="majorHAnsi"/>
                <w:noProof/>
                <w:sz w:val="22"/>
                <w:szCs w:val="22"/>
              </w:rPr>
              <w:t xml:space="preserve">e.g. </w:t>
            </w:r>
            <w:r w:rsidR="00FA1FA2" w:rsidRPr="00FA1FA2">
              <w:rPr>
                <w:rFonts w:asciiTheme="majorHAnsi" w:hAnsiTheme="majorHAnsi"/>
                <w:noProof/>
                <w:sz w:val="22"/>
                <w:szCs w:val="22"/>
              </w:rPr>
              <w:t>Zedner, 2016)</w:t>
            </w:r>
            <w:r w:rsidR="00FA1FA2">
              <w:rPr>
                <w:rFonts w:asciiTheme="majorHAnsi" w:hAnsiTheme="majorHAnsi"/>
                <w:sz w:val="22"/>
                <w:szCs w:val="22"/>
              </w:rPr>
              <w:fldChar w:fldCharType="end"/>
            </w:r>
            <w:r w:rsidRPr="00064E58">
              <w:rPr>
                <w:rFonts w:asciiTheme="majorHAnsi" w:hAnsiTheme="majorHAnsi"/>
                <w:sz w:val="22"/>
                <w:szCs w:val="22"/>
              </w:rPr>
              <w:t xml:space="preserve"> </w:t>
            </w:r>
            <w:r w:rsidR="00F32657">
              <w:rPr>
                <w:rFonts w:asciiTheme="majorHAnsi" w:hAnsiTheme="majorHAnsi"/>
                <w:sz w:val="22"/>
                <w:szCs w:val="22"/>
              </w:rPr>
              <w:t>and historical examples of misuse of census information</w:t>
            </w:r>
            <w:r w:rsidR="0049265D">
              <w:rPr>
                <w:rFonts w:asciiTheme="majorHAnsi" w:hAnsiTheme="majorHAnsi"/>
                <w:sz w:val="22"/>
                <w:szCs w:val="22"/>
              </w:rPr>
              <w:t xml:space="preserve"> </w:t>
            </w:r>
            <w:r w:rsidR="00F32657">
              <w:rPr>
                <w:rFonts w:asciiTheme="majorHAnsi" w:hAnsiTheme="majorHAnsi"/>
                <w:sz w:val="22"/>
                <w:szCs w:val="22"/>
              </w:rPr>
              <w:fldChar w:fldCharType="begin" w:fldLock="1"/>
            </w:r>
            <w:r w:rsidR="000700CB">
              <w:rPr>
                <w:rFonts w:asciiTheme="majorHAnsi" w:hAnsiTheme="majorHAnsi"/>
                <w:sz w:val="22"/>
                <w:szCs w:val="22"/>
              </w:rPr>
              <w:instrText>ADDIN CSL_CITATION { "citationItems" : [ { "id" : "ITEM-1", "itemData" : { "author" : [ { "dropping-particle" : "", "family" : "Aly", "given" : "G", "non-dropping-particle" : "", "parse-names" : false, "suffix" : "" }, { "dropping-particle" : "", "family" : "Roth", "given" : "Karl Heinz", "non-dropping-particle" : "", "parse-names" : false, "suffix" : "" } ], "container-title" : "Temple University Press, Philadelphia", "id" : "ITEM-1", "issued" : { "date-parts" : [ [ "2004" ] ] }, "title" : "The Nazi census : identification and control in the Third Reich", "type" : "book" }, "uris" : [ "http://www.mendeley.com/documents/?uuid=d6ebd96b-c4fb-4b3e-b2c0-b483ce73b8bf" ] }, { "id" : "ITEM-2", "itemData" : { "author" : [ { "dropping-particle" : "", "family" : "Seltzer", "given" : "W", "non-dropping-particle" : "", "parse-names" : false, "suffix" : "" }, { "dropping-particle" : "", "family" : "Anderson", "given" : "M", "non-dropping-particle" : "", "parse-names" : false, "suffix" : "" } ], "container-title" : "Social Research", "id" : "ITEM-2", "issued" : { "date-parts" : [ [ "2001" ] ] }, "title" : "The dark side of numbers: The role of population data systems in human rights abuses", "type" : "article-journal" }, "uris" : [ "http://www.mendeley.com/documents/?uuid=e5ada2b9-ab71-405b-9dd9-30c23aca5c21" ] } ], "mendeley" : { "formattedCitation" : "(Aly &amp; Roth, 2004; Seltzer &amp; Anderson, 2001)", "plainTextFormattedCitation" : "(Aly &amp; Roth, 2004; Seltzer &amp; Anderson, 2001)", "previouslyFormattedCitation" : "(Aly &amp; Roth, 2004; Seltzer &amp; Anderson, 2001)" }, "properties" : { "noteIndex" : 0 }, "schema" : "https://github.com/citation-style-language/schema/raw/master/csl-citation.json" }</w:instrText>
            </w:r>
            <w:r w:rsidR="00F32657">
              <w:rPr>
                <w:rFonts w:asciiTheme="majorHAnsi" w:hAnsiTheme="majorHAnsi"/>
                <w:sz w:val="22"/>
                <w:szCs w:val="22"/>
              </w:rPr>
              <w:fldChar w:fldCharType="separate"/>
            </w:r>
            <w:r w:rsidR="00F32657" w:rsidRPr="00F32657">
              <w:rPr>
                <w:rFonts w:asciiTheme="majorHAnsi" w:hAnsiTheme="majorHAnsi"/>
                <w:noProof/>
                <w:sz w:val="22"/>
                <w:szCs w:val="22"/>
              </w:rPr>
              <w:t>(Aly &amp; Roth, 2004; Seltzer &amp; Anderson, 2001)</w:t>
            </w:r>
            <w:r w:rsidR="00F32657">
              <w:rPr>
                <w:rFonts w:asciiTheme="majorHAnsi" w:hAnsiTheme="majorHAnsi"/>
                <w:sz w:val="22"/>
                <w:szCs w:val="22"/>
              </w:rPr>
              <w:fldChar w:fldCharType="end"/>
            </w:r>
            <w:r w:rsidR="00F32657">
              <w:rPr>
                <w:rFonts w:asciiTheme="majorHAnsi" w:hAnsiTheme="majorHAnsi"/>
                <w:sz w:val="22"/>
                <w:szCs w:val="22"/>
              </w:rPr>
              <w:t>.</w:t>
            </w:r>
            <w:r w:rsidRPr="00064E58">
              <w:rPr>
                <w:rFonts w:asciiTheme="majorHAnsi" w:hAnsiTheme="majorHAnsi"/>
                <w:sz w:val="22"/>
                <w:szCs w:val="22"/>
              </w:rPr>
              <w:t xml:space="preserve">  </w:t>
            </w:r>
          </w:p>
          <w:p w:rsidR="004C6534" w:rsidRDefault="004C6534" w:rsidP="00D22C75">
            <w:pPr>
              <w:jc w:val="both"/>
              <w:rPr>
                <w:rFonts w:asciiTheme="majorHAnsi" w:hAnsiTheme="majorHAnsi"/>
                <w:sz w:val="22"/>
                <w:szCs w:val="22"/>
              </w:rPr>
            </w:pPr>
          </w:p>
          <w:p w:rsidR="00064E58" w:rsidRPr="00064E58" w:rsidRDefault="00991F8F" w:rsidP="00D22C75">
            <w:pPr>
              <w:jc w:val="both"/>
              <w:rPr>
                <w:rFonts w:asciiTheme="majorHAnsi" w:hAnsiTheme="majorHAnsi"/>
                <w:sz w:val="22"/>
                <w:szCs w:val="22"/>
              </w:rPr>
            </w:pPr>
            <w:r>
              <w:rPr>
                <w:rFonts w:asciiTheme="majorHAnsi" w:hAnsiTheme="majorHAnsi"/>
                <w:sz w:val="22"/>
                <w:szCs w:val="22"/>
              </w:rPr>
              <w:t xml:space="preserve">This issue of anonymity appears to be </w:t>
            </w:r>
            <w:r w:rsidR="004D4F8F">
              <w:rPr>
                <w:rFonts w:asciiTheme="majorHAnsi" w:hAnsiTheme="majorHAnsi"/>
                <w:sz w:val="22"/>
                <w:szCs w:val="22"/>
              </w:rPr>
              <w:t>a major</w:t>
            </w:r>
            <w:r>
              <w:rPr>
                <w:rFonts w:asciiTheme="majorHAnsi" w:hAnsiTheme="majorHAnsi"/>
                <w:sz w:val="22"/>
                <w:szCs w:val="22"/>
              </w:rPr>
              <w:t xml:space="preserve"> factor for the respondents to the survey </w:t>
            </w:r>
            <w:r w:rsidR="00F32657">
              <w:rPr>
                <w:rFonts w:asciiTheme="majorHAnsi" w:hAnsiTheme="majorHAnsi"/>
                <w:sz w:val="22"/>
                <w:szCs w:val="22"/>
              </w:rPr>
              <w:t>discussed in this paper</w:t>
            </w:r>
            <w:r>
              <w:rPr>
                <w:rFonts w:asciiTheme="majorHAnsi" w:hAnsiTheme="majorHAnsi"/>
                <w:sz w:val="22"/>
                <w:szCs w:val="22"/>
              </w:rPr>
              <w:t xml:space="preserve">.  </w:t>
            </w:r>
            <w:r w:rsidR="004C6534" w:rsidRPr="004C6534">
              <w:rPr>
                <w:rFonts w:asciiTheme="majorHAnsi" w:hAnsiTheme="majorHAnsi"/>
                <w:sz w:val="22"/>
                <w:szCs w:val="22"/>
              </w:rPr>
              <w:t xml:space="preserve">Sixteen percent </w:t>
            </w:r>
            <w:r w:rsidR="00064E58" w:rsidRPr="004C6534">
              <w:rPr>
                <w:rFonts w:asciiTheme="majorHAnsi" w:hAnsiTheme="majorHAnsi"/>
                <w:sz w:val="22"/>
                <w:szCs w:val="22"/>
              </w:rPr>
              <w:t xml:space="preserve">of survey respondents were happy for the census office to share anonymised census data with UK intelligence agencies.  However, 60% of respondents reported opposition to the sharing of identifiable information. </w:t>
            </w:r>
            <w:r w:rsidR="00064E58" w:rsidRPr="00F32657">
              <w:rPr>
                <w:rFonts w:asciiTheme="majorHAnsi" w:hAnsiTheme="majorHAnsi"/>
                <w:sz w:val="22"/>
                <w:szCs w:val="22"/>
              </w:rPr>
              <w:t xml:space="preserve"> Respondents also noted a greater level of trust in the census office than ‘government’ to treat their personal data</w:t>
            </w:r>
            <w:r w:rsidR="00851CA8">
              <w:rPr>
                <w:rFonts w:asciiTheme="majorHAnsi" w:hAnsiTheme="majorHAnsi"/>
                <w:sz w:val="22"/>
                <w:szCs w:val="22"/>
              </w:rPr>
              <w:t xml:space="preserve"> with respect for their </w:t>
            </w:r>
            <w:r w:rsidR="00CF6A2B">
              <w:rPr>
                <w:rFonts w:asciiTheme="majorHAnsi" w:hAnsiTheme="majorHAnsi"/>
                <w:sz w:val="22"/>
                <w:szCs w:val="22"/>
              </w:rPr>
              <w:t>privacy</w:t>
            </w:r>
            <w:r w:rsidR="00CF6A2B" w:rsidRPr="00F32657">
              <w:rPr>
                <w:rFonts w:asciiTheme="majorHAnsi" w:hAnsiTheme="majorHAnsi"/>
                <w:sz w:val="22"/>
                <w:szCs w:val="22"/>
              </w:rPr>
              <w:t xml:space="preserve"> (</w:t>
            </w:r>
            <w:r w:rsidR="00851CA8">
              <w:rPr>
                <w:rFonts w:asciiTheme="majorHAnsi" w:hAnsiTheme="majorHAnsi"/>
                <w:sz w:val="22"/>
                <w:szCs w:val="22"/>
              </w:rPr>
              <w:t>73</w:t>
            </w:r>
            <w:r w:rsidR="00064E58" w:rsidRPr="00F32657">
              <w:rPr>
                <w:rFonts w:asciiTheme="majorHAnsi" w:hAnsiTheme="majorHAnsi"/>
                <w:sz w:val="22"/>
                <w:szCs w:val="22"/>
              </w:rPr>
              <w:t xml:space="preserve">% v </w:t>
            </w:r>
            <w:r w:rsidR="00851CA8">
              <w:rPr>
                <w:rFonts w:asciiTheme="majorHAnsi" w:hAnsiTheme="majorHAnsi"/>
                <w:sz w:val="22"/>
                <w:szCs w:val="22"/>
              </w:rPr>
              <w:t>66</w:t>
            </w:r>
            <w:r w:rsidR="00064E58" w:rsidRPr="00F32657">
              <w:rPr>
                <w:rFonts w:asciiTheme="majorHAnsi" w:hAnsiTheme="majorHAnsi"/>
                <w:sz w:val="22"/>
                <w:szCs w:val="22"/>
              </w:rPr>
              <w:t>%).</w:t>
            </w:r>
            <w:r w:rsidR="00064E58" w:rsidRPr="00064E58">
              <w:rPr>
                <w:rFonts w:asciiTheme="majorHAnsi" w:hAnsiTheme="majorHAnsi"/>
                <w:sz w:val="22"/>
                <w:szCs w:val="22"/>
              </w:rPr>
              <w:t xml:space="preserve"> </w:t>
            </w:r>
          </w:p>
          <w:p w:rsidR="0031744F" w:rsidRPr="00064E58" w:rsidRDefault="0031744F" w:rsidP="00D22C75">
            <w:pPr>
              <w:jc w:val="both"/>
              <w:rPr>
                <w:rFonts w:asciiTheme="majorHAnsi" w:hAnsiTheme="majorHAnsi"/>
                <w:sz w:val="22"/>
                <w:szCs w:val="22"/>
              </w:rPr>
            </w:pPr>
          </w:p>
          <w:p w:rsidR="00064E58" w:rsidRPr="00064E58" w:rsidRDefault="00064E58" w:rsidP="00D22C75">
            <w:pPr>
              <w:jc w:val="both"/>
              <w:rPr>
                <w:rFonts w:asciiTheme="majorHAnsi" w:hAnsiTheme="majorHAnsi"/>
                <w:sz w:val="22"/>
                <w:szCs w:val="22"/>
              </w:rPr>
            </w:pPr>
            <w:r w:rsidRPr="00064E58">
              <w:rPr>
                <w:rFonts w:asciiTheme="majorHAnsi" w:hAnsiTheme="majorHAnsi"/>
                <w:sz w:val="22"/>
                <w:szCs w:val="22"/>
              </w:rPr>
              <w:t xml:space="preserve">Concerns regarding improper </w:t>
            </w:r>
            <w:r w:rsidR="0031744F">
              <w:rPr>
                <w:rFonts w:asciiTheme="majorHAnsi" w:hAnsiTheme="majorHAnsi"/>
                <w:sz w:val="22"/>
                <w:szCs w:val="22"/>
              </w:rPr>
              <w:t>use of</w:t>
            </w:r>
            <w:r w:rsidRPr="00064E58">
              <w:rPr>
                <w:rFonts w:asciiTheme="majorHAnsi" w:hAnsiTheme="majorHAnsi"/>
                <w:sz w:val="22"/>
                <w:szCs w:val="22"/>
              </w:rPr>
              <w:t xml:space="preserve"> census </w:t>
            </w:r>
            <w:r w:rsidR="0031744F">
              <w:rPr>
                <w:rFonts w:asciiTheme="majorHAnsi" w:hAnsiTheme="majorHAnsi"/>
                <w:sz w:val="22"/>
                <w:szCs w:val="22"/>
              </w:rPr>
              <w:t>data</w:t>
            </w:r>
            <w:r w:rsidR="0031744F" w:rsidRPr="00064E58">
              <w:rPr>
                <w:rFonts w:asciiTheme="majorHAnsi" w:hAnsiTheme="majorHAnsi"/>
                <w:sz w:val="22"/>
                <w:szCs w:val="22"/>
              </w:rPr>
              <w:t xml:space="preserve"> </w:t>
            </w:r>
            <w:r w:rsidR="0031744F">
              <w:rPr>
                <w:rFonts w:asciiTheme="majorHAnsi" w:hAnsiTheme="majorHAnsi"/>
                <w:sz w:val="22"/>
                <w:szCs w:val="22"/>
              </w:rPr>
              <w:t>by</w:t>
            </w:r>
            <w:r w:rsidR="0031744F" w:rsidRPr="00064E58">
              <w:rPr>
                <w:rFonts w:asciiTheme="majorHAnsi" w:hAnsiTheme="majorHAnsi"/>
                <w:sz w:val="22"/>
                <w:szCs w:val="22"/>
              </w:rPr>
              <w:t xml:space="preserve"> </w:t>
            </w:r>
            <w:r w:rsidRPr="00064E58">
              <w:rPr>
                <w:rFonts w:asciiTheme="majorHAnsi" w:hAnsiTheme="majorHAnsi"/>
                <w:sz w:val="22"/>
                <w:szCs w:val="22"/>
              </w:rPr>
              <w:t>other areas of government prompted scores of people to avoid the population count in 1991</w:t>
            </w:r>
            <w:r w:rsidR="0049265D">
              <w:rPr>
                <w:rFonts w:asciiTheme="majorHAnsi" w:hAnsiTheme="majorHAnsi"/>
                <w:sz w:val="22"/>
                <w:szCs w:val="22"/>
              </w:rPr>
              <w:t xml:space="preserve"> </w:t>
            </w:r>
            <w:r w:rsidR="000700CB">
              <w:rPr>
                <w:rFonts w:asciiTheme="majorHAnsi" w:hAnsiTheme="majorHAnsi"/>
                <w:sz w:val="22"/>
                <w:szCs w:val="22"/>
              </w:rPr>
              <w:fldChar w:fldCharType="begin" w:fldLock="1"/>
            </w:r>
            <w:r w:rsidR="000700CB">
              <w:rPr>
                <w:rFonts w:asciiTheme="majorHAnsi" w:hAnsiTheme="majorHAnsi"/>
                <w:sz w:val="22"/>
                <w:szCs w:val="22"/>
              </w:rPr>
              <w:instrText>ADDIN CSL_CITATION { "citationItems" : [ { "id" : "ITEM-1", "itemData" : { "author" : [ { "dropping-particle" : "", "family" : "Simpson", "given" : "Stephen", "non-dropping-particle" : "", "parse-names" : false, "suffix" : "" }, { "dropping-particle" : "", "family" : "Dorling", "given" : "Daniel", "non-dropping-particle" : "", "parse-names" : false, "suffix" : "" } ], "container-title" : "Journal of Social Policy", "id" : "ITEM-1", "issued" : { "date-parts" : [ [ "1994" ] ] }, "title" : "Those missing millions: implications for social statistics of non-response to the 1991 Census", "type" : "article-journal" }, "uris" : [ "http://www.mendeley.com/documents/?uuid=1686f423-0add-4944-a1c9-e5eaeae282d1" ] } ], "mendeley" : { "formattedCitation" : "(Simpson &amp; Dorling, 1994)", "plainTextFormattedCitation" : "(Simpson &amp; Dorling, 1994)", "previouslyFormattedCitation" : "(Simpson &amp; Dorling, 1994)" }, "properties" : { "noteIndex" : 0 }, "schema" : "https://github.com/citation-style-language/schema/raw/master/csl-citation.json" }</w:instrText>
            </w:r>
            <w:r w:rsidR="000700CB">
              <w:rPr>
                <w:rFonts w:asciiTheme="majorHAnsi" w:hAnsiTheme="majorHAnsi"/>
                <w:sz w:val="22"/>
                <w:szCs w:val="22"/>
              </w:rPr>
              <w:fldChar w:fldCharType="separate"/>
            </w:r>
            <w:r w:rsidR="000700CB" w:rsidRPr="000700CB">
              <w:rPr>
                <w:rFonts w:asciiTheme="majorHAnsi" w:hAnsiTheme="majorHAnsi"/>
                <w:noProof/>
                <w:sz w:val="22"/>
                <w:szCs w:val="22"/>
              </w:rPr>
              <w:t>(Simpson &amp; Dorling, 1994)</w:t>
            </w:r>
            <w:r w:rsidR="000700CB">
              <w:rPr>
                <w:rFonts w:asciiTheme="majorHAnsi" w:hAnsiTheme="majorHAnsi"/>
                <w:sz w:val="22"/>
                <w:szCs w:val="22"/>
              </w:rPr>
              <w:fldChar w:fldCharType="end"/>
            </w:r>
            <w:r w:rsidRPr="00064E58">
              <w:rPr>
                <w:rFonts w:asciiTheme="majorHAnsi" w:hAnsiTheme="majorHAnsi"/>
                <w:sz w:val="22"/>
                <w:szCs w:val="22"/>
              </w:rPr>
              <w:t xml:space="preserve">. </w:t>
            </w:r>
            <w:r w:rsidR="0031744F">
              <w:rPr>
                <w:rFonts w:asciiTheme="majorHAnsi" w:hAnsiTheme="majorHAnsi"/>
                <w:sz w:val="22"/>
                <w:szCs w:val="22"/>
              </w:rPr>
              <w:t xml:space="preserve"> </w:t>
            </w:r>
            <w:r w:rsidR="00FD5125">
              <w:rPr>
                <w:rFonts w:asciiTheme="majorHAnsi" w:hAnsiTheme="majorHAnsi"/>
                <w:sz w:val="22"/>
                <w:szCs w:val="22"/>
              </w:rPr>
              <w:t xml:space="preserve">The findings from this study </w:t>
            </w:r>
            <w:r w:rsidRPr="00064E58">
              <w:rPr>
                <w:rFonts w:asciiTheme="majorHAnsi" w:hAnsiTheme="majorHAnsi"/>
                <w:sz w:val="22"/>
                <w:szCs w:val="22"/>
              </w:rPr>
              <w:lastRenderedPageBreak/>
              <w:t xml:space="preserve">suggest </w:t>
            </w:r>
            <w:r w:rsidR="0031744F">
              <w:rPr>
                <w:rFonts w:asciiTheme="majorHAnsi" w:hAnsiTheme="majorHAnsi"/>
                <w:sz w:val="22"/>
                <w:szCs w:val="22"/>
              </w:rPr>
              <w:t>these concerns are still present and the shift to a predominantly online census</w:t>
            </w:r>
            <w:r w:rsidR="00085060">
              <w:rPr>
                <w:rFonts w:asciiTheme="majorHAnsi" w:hAnsiTheme="majorHAnsi"/>
                <w:sz w:val="22"/>
                <w:szCs w:val="22"/>
              </w:rPr>
              <w:t xml:space="preserve"> may increase such concerns</w:t>
            </w:r>
            <w:r w:rsidR="0031744F">
              <w:rPr>
                <w:rFonts w:asciiTheme="majorHAnsi" w:hAnsiTheme="majorHAnsi"/>
                <w:sz w:val="22"/>
                <w:szCs w:val="22"/>
              </w:rPr>
              <w:t xml:space="preserve">. </w:t>
            </w:r>
          </w:p>
          <w:p w:rsidR="00064E58" w:rsidRPr="00064E58" w:rsidRDefault="00064E58" w:rsidP="00D22C75">
            <w:pPr>
              <w:jc w:val="both"/>
              <w:rPr>
                <w:rFonts w:asciiTheme="majorHAnsi" w:hAnsiTheme="majorHAnsi"/>
                <w:sz w:val="22"/>
                <w:szCs w:val="22"/>
              </w:rPr>
            </w:pPr>
          </w:p>
          <w:p w:rsidR="003F78DB" w:rsidRPr="00AC437A" w:rsidRDefault="00085060" w:rsidP="00D22C75">
            <w:pPr>
              <w:jc w:val="both"/>
              <w:rPr>
                <w:rFonts w:asciiTheme="majorHAnsi" w:hAnsiTheme="majorHAnsi"/>
                <w:sz w:val="22"/>
                <w:szCs w:val="22"/>
              </w:rPr>
            </w:pPr>
            <w:r>
              <w:rPr>
                <w:rFonts w:asciiTheme="majorHAnsi" w:hAnsiTheme="majorHAnsi"/>
                <w:sz w:val="22"/>
                <w:szCs w:val="22"/>
              </w:rPr>
              <w:t>In summary, t</w:t>
            </w:r>
            <w:r w:rsidR="00064E58" w:rsidRPr="00064E58">
              <w:rPr>
                <w:rFonts w:asciiTheme="majorHAnsi" w:hAnsiTheme="majorHAnsi"/>
                <w:sz w:val="22"/>
                <w:szCs w:val="22"/>
              </w:rPr>
              <w:t>his paper examines attitudes t</w:t>
            </w:r>
            <w:r w:rsidR="008416DF">
              <w:rPr>
                <w:rFonts w:asciiTheme="majorHAnsi" w:hAnsiTheme="majorHAnsi"/>
                <w:sz w:val="22"/>
                <w:szCs w:val="22"/>
              </w:rPr>
              <w:t xml:space="preserve">o sharing personal information </w:t>
            </w:r>
            <w:r w:rsidR="00064E58" w:rsidRPr="00064E58">
              <w:rPr>
                <w:rFonts w:asciiTheme="majorHAnsi" w:hAnsiTheme="majorHAnsi"/>
                <w:sz w:val="22"/>
                <w:szCs w:val="22"/>
              </w:rPr>
              <w:t>with e-</w:t>
            </w:r>
            <w:r w:rsidR="00E15821" w:rsidRPr="00064E58">
              <w:rPr>
                <w:rFonts w:asciiTheme="majorHAnsi" w:hAnsiTheme="majorHAnsi"/>
                <w:sz w:val="22"/>
                <w:szCs w:val="22"/>
              </w:rPr>
              <w:t>government</w:t>
            </w:r>
            <w:r w:rsidR="00E15821">
              <w:rPr>
                <w:rFonts w:asciiTheme="majorHAnsi" w:hAnsiTheme="majorHAnsi"/>
                <w:sz w:val="22"/>
                <w:szCs w:val="22"/>
              </w:rPr>
              <w:t>;</w:t>
            </w:r>
            <w:r w:rsidR="00064E58" w:rsidRPr="00064E58">
              <w:rPr>
                <w:rFonts w:asciiTheme="majorHAnsi" w:hAnsiTheme="majorHAnsi"/>
                <w:sz w:val="22"/>
                <w:szCs w:val="22"/>
              </w:rPr>
              <w:t xml:space="preserve"> </w:t>
            </w:r>
            <w:r w:rsidR="00AC437A">
              <w:rPr>
                <w:rFonts w:asciiTheme="majorHAnsi" w:hAnsiTheme="majorHAnsi"/>
                <w:sz w:val="22"/>
                <w:szCs w:val="22"/>
              </w:rPr>
              <w:t xml:space="preserve">it also explores issues of accessibility and readiness for a transition to online data collection to understand if the proposed new format of the census will have an impact on the quality </w:t>
            </w:r>
            <w:r w:rsidR="004D4F8F">
              <w:rPr>
                <w:rFonts w:asciiTheme="majorHAnsi" w:hAnsiTheme="majorHAnsi"/>
                <w:sz w:val="22"/>
                <w:szCs w:val="22"/>
              </w:rPr>
              <w:t xml:space="preserve">of </w:t>
            </w:r>
            <w:r w:rsidR="00AC437A">
              <w:rPr>
                <w:rFonts w:asciiTheme="majorHAnsi" w:hAnsiTheme="majorHAnsi"/>
                <w:sz w:val="22"/>
                <w:szCs w:val="22"/>
              </w:rPr>
              <w:t>the census outputs.  Thus</w:t>
            </w:r>
            <w:r w:rsidR="00064E58" w:rsidRPr="00064E58">
              <w:rPr>
                <w:rFonts w:asciiTheme="majorHAnsi" w:hAnsiTheme="majorHAnsi"/>
                <w:sz w:val="22"/>
                <w:szCs w:val="22"/>
              </w:rPr>
              <w:t xml:space="preserve"> it aligns with the key conference theme of patterns of information behaviour in different contexts </w:t>
            </w:r>
            <w:r w:rsidR="00064E58" w:rsidRPr="00AC437A">
              <w:rPr>
                <w:rFonts w:asciiTheme="majorHAnsi" w:hAnsiTheme="majorHAnsi"/>
                <w:sz w:val="22"/>
                <w:szCs w:val="22"/>
              </w:rPr>
              <w:t>and</w:t>
            </w:r>
            <w:r w:rsidR="00AC437A" w:rsidRPr="00AC437A">
              <w:rPr>
                <w:rFonts w:asciiTheme="majorHAnsi" w:hAnsiTheme="majorHAnsi"/>
                <w:sz w:val="22"/>
                <w:szCs w:val="22"/>
              </w:rPr>
              <w:t xml:space="preserve"> the social, cultural and economic impacts of engagement with information</w:t>
            </w:r>
            <w:r w:rsidR="00AC437A">
              <w:rPr>
                <w:rFonts w:asciiTheme="majorHAnsi" w:hAnsiTheme="majorHAnsi"/>
                <w:sz w:val="22"/>
                <w:szCs w:val="22"/>
              </w:rPr>
              <w:t xml:space="preserve">. </w:t>
            </w:r>
            <w:r w:rsidR="00851CA8">
              <w:rPr>
                <w:rFonts w:asciiTheme="majorHAnsi" w:hAnsiTheme="majorHAnsi"/>
                <w:sz w:val="22"/>
                <w:szCs w:val="22"/>
              </w:rPr>
              <w:t xml:space="preserve"> </w:t>
            </w:r>
            <w:r w:rsidR="00064E58" w:rsidRPr="00AC437A">
              <w:rPr>
                <w:rFonts w:asciiTheme="majorHAnsi" w:hAnsiTheme="majorHAnsi"/>
                <w:sz w:val="22"/>
                <w:szCs w:val="22"/>
              </w:rPr>
              <w:t xml:space="preserve"> i3 delegates with interests in how the public respond to data gathering by e-government </w:t>
            </w:r>
            <w:r w:rsidR="00AC437A" w:rsidRPr="00AC437A">
              <w:rPr>
                <w:rFonts w:asciiTheme="majorHAnsi" w:hAnsiTheme="majorHAnsi"/>
                <w:sz w:val="22"/>
                <w:szCs w:val="22"/>
              </w:rPr>
              <w:t xml:space="preserve">and shifts to online channels </w:t>
            </w:r>
            <w:r w:rsidR="00064E58" w:rsidRPr="00AC437A">
              <w:rPr>
                <w:rFonts w:asciiTheme="majorHAnsi" w:hAnsiTheme="majorHAnsi"/>
                <w:sz w:val="22"/>
                <w:szCs w:val="22"/>
              </w:rPr>
              <w:t>will find this paper of relevance.</w:t>
            </w:r>
          </w:p>
          <w:p w:rsidR="003F78DB" w:rsidRPr="00414308" w:rsidRDefault="003F78DB" w:rsidP="00414308">
            <w:pPr>
              <w:rPr>
                <w:rFonts w:asciiTheme="majorHAnsi" w:hAnsiTheme="majorHAnsi"/>
                <w:sz w:val="22"/>
                <w:szCs w:val="22"/>
              </w:rPr>
            </w:pPr>
          </w:p>
          <w:p w:rsidR="00CC032F" w:rsidRDefault="00CC032F" w:rsidP="00414308">
            <w:pPr>
              <w:rPr>
                <w:rFonts w:asciiTheme="majorHAnsi" w:hAnsiTheme="majorHAnsi"/>
                <w:b/>
                <w:sz w:val="22"/>
                <w:szCs w:val="22"/>
              </w:rPr>
            </w:pPr>
            <w:r w:rsidRPr="00414308">
              <w:rPr>
                <w:rFonts w:asciiTheme="majorHAnsi" w:hAnsiTheme="majorHAnsi"/>
                <w:b/>
                <w:sz w:val="22"/>
                <w:szCs w:val="22"/>
              </w:rPr>
              <w:t>References</w:t>
            </w:r>
          </w:p>
          <w:p w:rsidR="00381E21" w:rsidRDefault="00381E21" w:rsidP="00414308">
            <w:pPr>
              <w:rPr>
                <w:rFonts w:asciiTheme="majorHAnsi" w:hAnsiTheme="majorHAnsi"/>
                <w:b/>
                <w:sz w:val="22"/>
                <w:szCs w:val="22"/>
              </w:rPr>
            </w:pPr>
          </w:p>
          <w:p w:rsidR="006621A5" w:rsidRPr="006621A5" w:rsidRDefault="00381E21" w:rsidP="006621A5">
            <w:pPr>
              <w:widowControl w:val="0"/>
              <w:autoSpaceDE w:val="0"/>
              <w:autoSpaceDN w:val="0"/>
              <w:adjustRightInd w:val="0"/>
              <w:spacing w:before="100" w:after="100"/>
              <w:ind w:left="480" w:hanging="480"/>
              <w:rPr>
                <w:rFonts w:ascii="Calibri" w:hAnsi="Calibri"/>
                <w:noProof/>
                <w:sz w:val="22"/>
              </w:rPr>
            </w:pPr>
            <w:r>
              <w:rPr>
                <w:rFonts w:asciiTheme="majorHAnsi" w:hAnsiTheme="majorHAnsi"/>
                <w:b/>
                <w:sz w:val="22"/>
                <w:szCs w:val="22"/>
              </w:rPr>
              <w:fldChar w:fldCharType="begin" w:fldLock="1"/>
            </w:r>
            <w:r>
              <w:rPr>
                <w:rFonts w:asciiTheme="majorHAnsi" w:hAnsiTheme="majorHAnsi"/>
                <w:b/>
                <w:sz w:val="22"/>
                <w:szCs w:val="22"/>
              </w:rPr>
              <w:instrText xml:space="preserve">ADDIN Mendeley Bibliography CSL_BIBLIOGRAPHY </w:instrText>
            </w:r>
            <w:r>
              <w:rPr>
                <w:rFonts w:asciiTheme="majorHAnsi" w:hAnsiTheme="majorHAnsi"/>
                <w:b/>
                <w:sz w:val="22"/>
                <w:szCs w:val="22"/>
              </w:rPr>
              <w:fldChar w:fldCharType="separate"/>
            </w:r>
            <w:r w:rsidR="006621A5" w:rsidRPr="006621A5">
              <w:rPr>
                <w:rFonts w:ascii="Calibri" w:hAnsi="Calibri"/>
                <w:noProof/>
                <w:sz w:val="22"/>
              </w:rPr>
              <w:t xml:space="preserve">Aly, G., &amp; Roth, K. H. (2004). </w:t>
            </w:r>
            <w:r w:rsidR="006621A5" w:rsidRPr="006621A5">
              <w:rPr>
                <w:rFonts w:ascii="Calibri" w:hAnsi="Calibri"/>
                <w:i/>
                <w:iCs/>
                <w:noProof/>
                <w:sz w:val="22"/>
              </w:rPr>
              <w:t>The Nazi census : identification and control in the Third Reich</w:t>
            </w:r>
            <w:r w:rsidR="006621A5" w:rsidRPr="006621A5">
              <w:rPr>
                <w:rFonts w:ascii="Calibri" w:hAnsi="Calibri"/>
                <w:noProof/>
                <w:sz w:val="22"/>
              </w:rPr>
              <w:t xml:space="preserve">. </w:t>
            </w:r>
            <w:r w:rsidR="006621A5" w:rsidRPr="006621A5">
              <w:rPr>
                <w:rFonts w:ascii="Calibri" w:hAnsi="Calibri"/>
                <w:i/>
                <w:iCs/>
                <w:noProof/>
                <w:sz w:val="22"/>
              </w:rPr>
              <w:t>Temple University Press, Philadelphia</w:t>
            </w:r>
            <w:r w:rsidR="006621A5" w:rsidRPr="006621A5">
              <w:rPr>
                <w:rFonts w:ascii="Calibri" w:hAnsi="Calibri"/>
                <w:noProof/>
                <w:sz w:val="22"/>
              </w:rPr>
              <w:t>. Retrieved from http://pmt-eu.hosted.exlibrisgroup.com/primo_library/libweb/action/display.do?tabs=detailsTab&amp;ct=display&amp;fn=search&amp;doc=ALMA-44NAP_ALMA2136387840002111&amp;indx=1&amp;recIds=ALMA-44NAP_ALMA2136387840002111&amp;recIdxs=0&amp;elementId=0&amp;renderMode=poppedOut&amp;displayMode=ful</w:t>
            </w:r>
          </w:p>
          <w:p w:rsidR="006621A5" w:rsidRPr="006621A5" w:rsidRDefault="006621A5" w:rsidP="006621A5">
            <w:pPr>
              <w:widowControl w:val="0"/>
              <w:autoSpaceDE w:val="0"/>
              <w:autoSpaceDN w:val="0"/>
              <w:adjustRightInd w:val="0"/>
              <w:spacing w:before="100" w:after="100"/>
              <w:ind w:left="480" w:hanging="480"/>
              <w:rPr>
                <w:rFonts w:ascii="Calibri" w:hAnsi="Calibri"/>
                <w:noProof/>
                <w:sz w:val="22"/>
              </w:rPr>
            </w:pPr>
            <w:r w:rsidRPr="006621A5">
              <w:rPr>
                <w:rFonts w:ascii="Calibri" w:hAnsi="Calibri"/>
                <w:noProof/>
                <w:sz w:val="22"/>
              </w:rPr>
              <w:t xml:space="preserve">Baffour, B., King, T., &amp; Valente, P. (2013). The Modern Census: </w:t>
            </w:r>
            <w:r w:rsidR="00290458">
              <w:rPr>
                <w:rFonts w:ascii="Calibri" w:hAnsi="Calibri"/>
                <w:noProof/>
                <w:sz w:val="22"/>
              </w:rPr>
              <w:t>e</w:t>
            </w:r>
            <w:r w:rsidRPr="006621A5">
              <w:rPr>
                <w:rFonts w:ascii="Calibri" w:hAnsi="Calibri"/>
                <w:noProof/>
                <w:sz w:val="22"/>
              </w:rPr>
              <w:t xml:space="preserve">volution, </w:t>
            </w:r>
            <w:r w:rsidR="00290458">
              <w:rPr>
                <w:rFonts w:ascii="Calibri" w:hAnsi="Calibri"/>
                <w:noProof/>
                <w:sz w:val="22"/>
              </w:rPr>
              <w:t>e</w:t>
            </w:r>
            <w:r w:rsidRPr="006621A5">
              <w:rPr>
                <w:rFonts w:ascii="Calibri" w:hAnsi="Calibri"/>
                <w:noProof/>
                <w:sz w:val="22"/>
              </w:rPr>
              <w:t xml:space="preserve">xamples and </w:t>
            </w:r>
            <w:r w:rsidR="00290458">
              <w:rPr>
                <w:rFonts w:ascii="Calibri" w:hAnsi="Calibri"/>
                <w:noProof/>
                <w:sz w:val="22"/>
              </w:rPr>
              <w:t>e</w:t>
            </w:r>
            <w:r w:rsidRPr="006621A5">
              <w:rPr>
                <w:rFonts w:ascii="Calibri" w:hAnsi="Calibri"/>
                <w:noProof/>
                <w:sz w:val="22"/>
              </w:rPr>
              <w:t xml:space="preserve">valuation. </w:t>
            </w:r>
            <w:r w:rsidRPr="006621A5">
              <w:rPr>
                <w:rFonts w:ascii="Calibri" w:hAnsi="Calibri"/>
                <w:i/>
                <w:iCs/>
                <w:noProof/>
                <w:sz w:val="22"/>
              </w:rPr>
              <w:t>International Statistical Review</w:t>
            </w:r>
            <w:r w:rsidRPr="006621A5">
              <w:rPr>
                <w:rFonts w:ascii="Calibri" w:hAnsi="Calibri"/>
                <w:noProof/>
                <w:sz w:val="22"/>
              </w:rPr>
              <w:t xml:space="preserve">, </w:t>
            </w:r>
            <w:r w:rsidRPr="006621A5">
              <w:rPr>
                <w:rFonts w:ascii="Calibri" w:hAnsi="Calibri"/>
                <w:i/>
                <w:iCs/>
                <w:noProof/>
                <w:sz w:val="22"/>
              </w:rPr>
              <w:t>81</w:t>
            </w:r>
            <w:r w:rsidRPr="006621A5">
              <w:rPr>
                <w:rFonts w:ascii="Calibri" w:hAnsi="Calibri"/>
                <w:noProof/>
                <w:sz w:val="22"/>
              </w:rPr>
              <w:t>(3), 407–425. http://doi.org/10.1111/insr.12036</w:t>
            </w:r>
          </w:p>
          <w:p w:rsidR="006621A5" w:rsidRPr="006621A5" w:rsidRDefault="006621A5" w:rsidP="006621A5">
            <w:pPr>
              <w:widowControl w:val="0"/>
              <w:autoSpaceDE w:val="0"/>
              <w:autoSpaceDN w:val="0"/>
              <w:adjustRightInd w:val="0"/>
              <w:spacing w:before="100" w:after="100"/>
              <w:ind w:left="480" w:hanging="480"/>
              <w:rPr>
                <w:rFonts w:ascii="Calibri" w:hAnsi="Calibri"/>
                <w:noProof/>
                <w:sz w:val="22"/>
              </w:rPr>
            </w:pPr>
            <w:r w:rsidRPr="006621A5">
              <w:rPr>
                <w:rFonts w:ascii="Calibri" w:hAnsi="Calibri"/>
                <w:noProof/>
                <w:sz w:val="22"/>
              </w:rPr>
              <w:t xml:space="preserve">Boyle, P., &amp; Dorling, D. (2004). Guest editorial: the 2001 UK census: remarkable resource or bygone legacy of the “pencil and paper era”? </w:t>
            </w:r>
            <w:r w:rsidRPr="006621A5">
              <w:rPr>
                <w:rFonts w:ascii="Calibri" w:hAnsi="Calibri"/>
                <w:i/>
                <w:iCs/>
                <w:noProof/>
                <w:sz w:val="22"/>
              </w:rPr>
              <w:t>Area</w:t>
            </w:r>
            <w:r w:rsidRPr="006621A5">
              <w:rPr>
                <w:rFonts w:ascii="Calibri" w:hAnsi="Calibri"/>
                <w:noProof/>
                <w:sz w:val="22"/>
              </w:rPr>
              <w:t xml:space="preserve">, </w:t>
            </w:r>
            <w:r w:rsidRPr="006621A5">
              <w:rPr>
                <w:rFonts w:ascii="Calibri" w:hAnsi="Calibri"/>
                <w:i/>
                <w:iCs/>
                <w:noProof/>
                <w:sz w:val="22"/>
              </w:rPr>
              <w:t>36</w:t>
            </w:r>
            <w:r w:rsidRPr="006621A5">
              <w:rPr>
                <w:rFonts w:ascii="Calibri" w:hAnsi="Calibri"/>
                <w:noProof/>
                <w:sz w:val="22"/>
              </w:rPr>
              <w:t>, 101–110. http://doi.org/10.1111/j.0004-0894.2004.00207.x</w:t>
            </w:r>
          </w:p>
          <w:p w:rsidR="006621A5" w:rsidRPr="006621A5" w:rsidRDefault="006621A5" w:rsidP="006621A5">
            <w:pPr>
              <w:widowControl w:val="0"/>
              <w:autoSpaceDE w:val="0"/>
              <w:autoSpaceDN w:val="0"/>
              <w:adjustRightInd w:val="0"/>
              <w:spacing w:before="100" w:after="100"/>
              <w:ind w:left="480" w:hanging="480"/>
              <w:rPr>
                <w:rFonts w:ascii="Calibri" w:hAnsi="Calibri"/>
                <w:noProof/>
                <w:sz w:val="22"/>
              </w:rPr>
            </w:pPr>
            <w:r w:rsidRPr="006621A5">
              <w:rPr>
                <w:rFonts w:ascii="Calibri" w:hAnsi="Calibri"/>
                <w:noProof/>
                <w:sz w:val="22"/>
              </w:rPr>
              <w:t xml:space="preserve">Coleman, D. (2013). The twilight of the census. </w:t>
            </w:r>
            <w:r w:rsidRPr="006621A5">
              <w:rPr>
                <w:rFonts w:ascii="Calibri" w:hAnsi="Calibri"/>
                <w:i/>
                <w:iCs/>
                <w:noProof/>
                <w:sz w:val="22"/>
              </w:rPr>
              <w:t>Po</w:t>
            </w:r>
            <w:r w:rsidR="00290458">
              <w:rPr>
                <w:rFonts w:ascii="Calibri" w:hAnsi="Calibri"/>
                <w:i/>
                <w:iCs/>
                <w:noProof/>
                <w:sz w:val="22"/>
              </w:rPr>
              <w:t>p</w:t>
            </w:r>
            <w:r w:rsidRPr="006621A5">
              <w:rPr>
                <w:rFonts w:ascii="Calibri" w:hAnsi="Calibri"/>
                <w:i/>
                <w:iCs/>
                <w:noProof/>
                <w:sz w:val="22"/>
              </w:rPr>
              <w:t xml:space="preserve">ulation and </w:t>
            </w:r>
            <w:r w:rsidR="00290458">
              <w:rPr>
                <w:rFonts w:ascii="Calibri" w:hAnsi="Calibri"/>
                <w:i/>
                <w:iCs/>
                <w:noProof/>
                <w:sz w:val="22"/>
              </w:rPr>
              <w:t>D</w:t>
            </w:r>
            <w:r w:rsidRPr="006621A5">
              <w:rPr>
                <w:rFonts w:ascii="Calibri" w:hAnsi="Calibri"/>
                <w:i/>
                <w:iCs/>
                <w:noProof/>
                <w:sz w:val="22"/>
              </w:rPr>
              <w:t>evelo</w:t>
            </w:r>
            <w:r w:rsidR="00290458">
              <w:rPr>
                <w:rFonts w:ascii="Calibri" w:hAnsi="Calibri"/>
                <w:i/>
                <w:iCs/>
                <w:noProof/>
                <w:sz w:val="22"/>
              </w:rPr>
              <w:t>p</w:t>
            </w:r>
            <w:r w:rsidRPr="006621A5">
              <w:rPr>
                <w:rFonts w:ascii="Calibri" w:hAnsi="Calibri"/>
                <w:i/>
                <w:iCs/>
                <w:noProof/>
                <w:sz w:val="22"/>
              </w:rPr>
              <w:t>ment Review</w:t>
            </w:r>
            <w:r w:rsidRPr="006621A5">
              <w:rPr>
                <w:rFonts w:ascii="Calibri" w:hAnsi="Calibri"/>
                <w:noProof/>
                <w:sz w:val="22"/>
              </w:rPr>
              <w:t xml:space="preserve">, </w:t>
            </w:r>
            <w:r w:rsidRPr="006621A5">
              <w:rPr>
                <w:rFonts w:ascii="Calibri" w:hAnsi="Calibri"/>
                <w:i/>
                <w:iCs/>
                <w:noProof/>
                <w:sz w:val="22"/>
              </w:rPr>
              <w:t>8</w:t>
            </w:r>
            <w:r w:rsidRPr="006621A5">
              <w:rPr>
                <w:rFonts w:ascii="Calibri" w:hAnsi="Calibri"/>
                <w:noProof/>
                <w:sz w:val="22"/>
              </w:rPr>
              <w:t>, 334–351. Retrieved from http://onlinelibrary.wiley.com/doi/10.1111/j.1728-4457.2013.00568.x/abstract</w:t>
            </w:r>
          </w:p>
          <w:p w:rsidR="006621A5" w:rsidRPr="006621A5" w:rsidRDefault="006621A5" w:rsidP="006621A5">
            <w:pPr>
              <w:widowControl w:val="0"/>
              <w:autoSpaceDE w:val="0"/>
              <w:autoSpaceDN w:val="0"/>
              <w:adjustRightInd w:val="0"/>
              <w:spacing w:before="100" w:after="100"/>
              <w:ind w:left="480" w:hanging="480"/>
              <w:rPr>
                <w:rFonts w:ascii="Calibri" w:hAnsi="Calibri"/>
                <w:noProof/>
                <w:sz w:val="22"/>
              </w:rPr>
            </w:pPr>
            <w:r w:rsidRPr="006621A5">
              <w:rPr>
                <w:rFonts w:ascii="Calibri" w:hAnsi="Calibri"/>
                <w:noProof/>
                <w:sz w:val="22"/>
              </w:rPr>
              <w:t xml:space="preserve">Courtland, S. (1985). Census confidentiality: Then and now. </w:t>
            </w:r>
            <w:r w:rsidRPr="006621A5">
              <w:rPr>
                <w:rFonts w:ascii="Calibri" w:hAnsi="Calibri"/>
                <w:i/>
                <w:iCs/>
                <w:noProof/>
                <w:sz w:val="22"/>
              </w:rPr>
              <w:t>Government Information Quarterly</w:t>
            </w:r>
            <w:r w:rsidRPr="006621A5">
              <w:rPr>
                <w:rFonts w:ascii="Calibri" w:hAnsi="Calibri"/>
                <w:noProof/>
                <w:sz w:val="22"/>
              </w:rPr>
              <w:t xml:space="preserve">, </w:t>
            </w:r>
            <w:r w:rsidRPr="006621A5">
              <w:rPr>
                <w:rFonts w:ascii="Calibri" w:hAnsi="Calibri"/>
                <w:i/>
                <w:iCs/>
                <w:noProof/>
                <w:sz w:val="22"/>
              </w:rPr>
              <w:t>2</w:t>
            </w:r>
            <w:r w:rsidRPr="006621A5">
              <w:rPr>
                <w:rFonts w:ascii="Calibri" w:hAnsi="Calibri"/>
                <w:noProof/>
                <w:sz w:val="22"/>
              </w:rPr>
              <w:t>(4), 407–418. http://doi.org/10.1016/0740-624X(85)90068-1</w:t>
            </w:r>
          </w:p>
          <w:p w:rsidR="006621A5" w:rsidRPr="006621A5" w:rsidRDefault="006621A5" w:rsidP="006621A5">
            <w:pPr>
              <w:widowControl w:val="0"/>
              <w:autoSpaceDE w:val="0"/>
              <w:autoSpaceDN w:val="0"/>
              <w:adjustRightInd w:val="0"/>
              <w:spacing w:before="100" w:after="100"/>
              <w:ind w:left="480" w:hanging="480"/>
              <w:rPr>
                <w:rFonts w:ascii="Calibri" w:hAnsi="Calibri"/>
                <w:noProof/>
                <w:sz w:val="22"/>
              </w:rPr>
            </w:pPr>
            <w:r w:rsidRPr="006621A5">
              <w:rPr>
                <w:rFonts w:ascii="Calibri" w:hAnsi="Calibri"/>
                <w:noProof/>
                <w:sz w:val="22"/>
              </w:rPr>
              <w:t xml:space="preserve">Cullen, R. (2009). Culture, identity and information privacy in the age of digital government. </w:t>
            </w:r>
            <w:r w:rsidRPr="006621A5">
              <w:rPr>
                <w:rFonts w:ascii="Calibri" w:hAnsi="Calibri"/>
                <w:i/>
                <w:iCs/>
                <w:noProof/>
                <w:sz w:val="22"/>
              </w:rPr>
              <w:t>Online Information Review</w:t>
            </w:r>
            <w:r w:rsidRPr="006621A5">
              <w:rPr>
                <w:rFonts w:ascii="Calibri" w:hAnsi="Calibri"/>
                <w:noProof/>
                <w:sz w:val="22"/>
              </w:rPr>
              <w:t xml:space="preserve">, </w:t>
            </w:r>
            <w:r w:rsidRPr="006621A5">
              <w:rPr>
                <w:rFonts w:ascii="Calibri" w:hAnsi="Calibri"/>
                <w:i/>
                <w:iCs/>
                <w:noProof/>
                <w:sz w:val="22"/>
              </w:rPr>
              <w:t>33</w:t>
            </w:r>
            <w:r w:rsidRPr="006621A5">
              <w:rPr>
                <w:rFonts w:ascii="Calibri" w:hAnsi="Calibri"/>
                <w:noProof/>
                <w:sz w:val="22"/>
              </w:rPr>
              <w:t>(3), 405–421. http://doi.org/10.1108/14684520910969871</w:t>
            </w:r>
          </w:p>
          <w:p w:rsidR="006621A5" w:rsidRPr="006621A5" w:rsidRDefault="006621A5" w:rsidP="006621A5">
            <w:pPr>
              <w:widowControl w:val="0"/>
              <w:autoSpaceDE w:val="0"/>
              <w:autoSpaceDN w:val="0"/>
              <w:adjustRightInd w:val="0"/>
              <w:spacing w:before="100" w:after="100"/>
              <w:ind w:left="480" w:hanging="480"/>
              <w:rPr>
                <w:rFonts w:ascii="Calibri" w:hAnsi="Calibri"/>
                <w:noProof/>
                <w:sz w:val="22"/>
              </w:rPr>
            </w:pPr>
            <w:r w:rsidRPr="006621A5">
              <w:rPr>
                <w:rFonts w:ascii="Calibri" w:hAnsi="Calibri"/>
                <w:noProof/>
                <w:sz w:val="22"/>
              </w:rPr>
              <w:t xml:space="preserve">Cullen, R., &amp; Reilly, P. (2008). Information Privacy and Trust in Government: A </w:t>
            </w:r>
            <w:r w:rsidR="00290458">
              <w:rPr>
                <w:rFonts w:ascii="Calibri" w:hAnsi="Calibri"/>
                <w:noProof/>
                <w:sz w:val="22"/>
              </w:rPr>
              <w:t>c</w:t>
            </w:r>
            <w:r w:rsidRPr="006621A5">
              <w:rPr>
                <w:rFonts w:ascii="Calibri" w:hAnsi="Calibri"/>
                <w:noProof/>
                <w:sz w:val="22"/>
              </w:rPr>
              <w:t>itizen-</w:t>
            </w:r>
            <w:r w:rsidR="00290458">
              <w:rPr>
                <w:rFonts w:ascii="Calibri" w:hAnsi="Calibri"/>
                <w:noProof/>
                <w:sz w:val="22"/>
              </w:rPr>
              <w:t>b</w:t>
            </w:r>
            <w:r w:rsidRPr="006621A5">
              <w:rPr>
                <w:rFonts w:ascii="Calibri" w:hAnsi="Calibri"/>
                <w:noProof/>
                <w:sz w:val="22"/>
              </w:rPr>
              <w:t xml:space="preserve">ased </w:t>
            </w:r>
            <w:r w:rsidR="00290458">
              <w:rPr>
                <w:rFonts w:ascii="Calibri" w:hAnsi="Calibri"/>
                <w:noProof/>
                <w:sz w:val="22"/>
              </w:rPr>
              <w:t>p</w:t>
            </w:r>
            <w:r w:rsidRPr="006621A5">
              <w:rPr>
                <w:rFonts w:ascii="Calibri" w:hAnsi="Calibri"/>
                <w:noProof/>
                <w:sz w:val="22"/>
              </w:rPr>
              <w:t xml:space="preserve">erspective from New Zealand. </w:t>
            </w:r>
            <w:r w:rsidRPr="006621A5">
              <w:rPr>
                <w:rFonts w:ascii="Calibri" w:hAnsi="Calibri"/>
                <w:i/>
                <w:iCs/>
                <w:noProof/>
                <w:sz w:val="22"/>
              </w:rPr>
              <w:t>Journal of Information Technology &amp; Politics</w:t>
            </w:r>
            <w:r w:rsidRPr="006621A5">
              <w:rPr>
                <w:rFonts w:ascii="Calibri" w:hAnsi="Calibri"/>
                <w:noProof/>
                <w:sz w:val="22"/>
              </w:rPr>
              <w:t>. http://doi.org/10.1080/19331680801915066</w:t>
            </w:r>
          </w:p>
          <w:p w:rsidR="006621A5" w:rsidRPr="006621A5" w:rsidRDefault="006621A5" w:rsidP="006621A5">
            <w:pPr>
              <w:widowControl w:val="0"/>
              <w:autoSpaceDE w:val="0"/>
              <w:autoSpaceDN w:val="0"/>
              <w:adjustRightInd w:val="0"/>
              <w:spacing w:before="100" w:after="100"/>
              <w:ind w:left="480" w:hanging="480"/>
              <w:rPr>
                <w:rFonts w:ascii="Calibri" w:hAnsi="Calibri"/>
                <w:noProof/>
                <w:sz w:val="22"/>
              </w:rPr>
            </w:pPr>
            <w:r w:rsidRPr="006621A5">
              <w:rPr>
                <w:rFonts w:ascii="Calibri" w:hAnsi="Calibri"/>
                <w:noProof/>
                <w:sz w:val="22"/>
              </w:rPr>
              <w:t xml:space="preserve">Dugmore, K., Furness, P., Leventhal, B., &amp; Moy, C. (2011). Beyond the 2011 census in the United Kingdom: with an international perspective. </w:t>
            </w:r>
            <w:r w:rsidRPr="006621A5">
              <w:rPr>
                <w:rFonts w:ascii="Calibri" w:hAnsi="Calibri"/>
                <w:i/>
                <w:iCs/>
                <w:noProof/>
                <w:sz w:val="22"/>
              </w:rPr>
              <w:t>International Journal of Market Research</w:t>
            </w:r>
            <w:r w:rsidRPr="006621A5">
              <w:rPr>
                <w:rFonts w:ascii="Calibri" w:hAnsi="Calibri"/>
                <w:noProof/>
                <w:sz w:val="22"/>
              </w:rPr>
              <w:t>. http://doi.org/10.2501/IJMR-53-5-619-650</w:t>
            </w:r>
          </w:p>
          <w:p w:rsidR="006621A5" w:rsidRPr="006621A5" w:rsidRDefault="006621A5" w:rsidP="006621A5">
            <w:pPr>
              <w:widowControl w:val="0"/>
              <w:autoSpaceDE w:val="0"/>
              <w:autoSpaceDN w:val="0"/>
              <w:adjustRightInd w:val="0"/>
              <w:spacing w:before="100" w:after="100"/>
              <w:ind w:left="480" w:hanging="480"/>
              <w:rPr>
                <w:rFonts w:ascii="Calibri" w:hAnsi="Calibri"/>
                <w:noProof/>
                <w:sz w:val="22"/>
              </w:rPr>
            </w:pPr>
            <w:r w:rsidRPr="006621A5">
              <w:rPr>
                <w:rFonts w:ascii="Calibri" w:hAnsi="Calibri"/>
                <w:noProof/>
                <w:sz w:val="22"/>
              </w:rPr>
              <w:t xml:space="preserve">Heeney, C. (2012). Breaching the Contract? Privacy and the UK Census. </w:t>
            </w:r>
            <w:r w:rsidRPr="006621A5">
              <w:rPr>
                <w:rFonts w:ascii="Calibri" w:hAnsi="Calibri"/>
                <w:i/>
                <w:iCs/>
                <w:noProof/>
                <w:sz w:val="22"/>
              </w:rPr>
              <w:t>The Information Society</w:t>
            </w:r>
            <w:r w:rsidRPr="006621A5">
              <w:rPr>
                <w:rFonts w:ascii="Calibri" w:hAnsi="Calibri"/>
                <w:noProof/>
                <w:sz w:val="22"/>
              </w:rPr>
              <w:t>. http://doi.org/10.1080/01972243.2012.709479</w:t>
            </w:r>
          </w:p>
          <w:p w:rsidR="006621A5" w:rsidRPr="006621A5" w:rsidRDefault="006621A5" w:rsidP="006621A5">
            <w:pPr>
              <w:widowControl w:val="0"/>
              <w:autoSpaceDE w:val="0"/>
              <w:autoSpaceDN w:val="0"/>
              <w:adjustRightInd w:val="0"/>
              <w:spacing w:before="100" w:after="100"/>
              <w:ind w:left="480" w:hanging="480"/>
              <w:rPr>
                <w:rFonts w:ascii="Calibri" w:hAnsi="Calibri"/>
                <w:noProof/>
                <w:sz w:val="22"/>
              </w:rPr>
            </w:pPr>
            <w:r w:rsidRPr="006621A5">
              <w:rPr>
                <w:rFonts w:ascii="Calibri" w:hAnsi="Calibri"/>
                <w:noProof/>
                <w:sz w:val="22"/>
              </w:rPr>
              <w:t xml:space="preserve">Holt, T. (2007). The Statistics and Registration Service Act. </w:t>
            </w:r>
            <w:r w:rsidRPr="006621A5">
              <w:rPr>
                <w:rFonts w:ascii="Calibri" w:hAnsi="Calibri"/>
                <w:i/>
                <w:iCs/>
                <w:noProof/>
                <w:sz w:val="22"/>
              </w:rPr>
              <w:t>Significance</w:t>
            </w:r>
            <w:r w:rsidRPr="006621A5">
              <w:rPr>
                <w:rFonts w:ascii="Calibri" w:hAnsi="Calibri"/>
                <w:noProof/>
                <w:sz w:val="22"/>
              </w:rPr>
              <w:t xml:space="preserve">, </w:t>
            </w:r>
            <w:r w:rsidRPr="006621A5">
              <w:rPr>
                <w:rFonts w:ascii="Calibri" w:hAnsi="Calibri"/>
                <w:i/>
                <w:iCs/>
                <w:noProof/>
                <w:sz w:val="22"/>
              </w:rPr>
              <w:t>4</w:t>
            </w:r>
            <w:r w:rsidRPr="006621A5">
              <w:rPr>
                <w:rFonts w:ascii="Calibri" w:hAnsi="Calibri"/>
                <w:noProof/>
                <w:sz w:val="22"/>
              </w:rPr>
              <w:t>(4), 182–183. http://doi.org/10.1111/j.1740-9713.2007.00264.x</w:t>
            </w:r>
          </w:p>
          <w:p w:rsidR="006621A5" w:rsidRPr="006621A5" w:rsidRDefault="006621A5" w:rsidP="006621A5">
            <w:pPr>
              <w:widowControl w:val="0"/>
              <w:autoSpaceDE w:val="0"/>
              <w:autoSpaceDN w:val="0"/>
              <w:adjustRightInd w:val="0"/>
              <w:spacing w:before="100" w:after="100"/>
              <w:ind w:left="480" w:hanging="480"/>
              <w:rPr>
                <w:rFonts w:ascii="Calibri" w:hAnsi="Calibri"/>
                <w:noProof/>
                <w:sz w:val="22"/>
              </w:rPr>
            </w:pPr>
            <w:r w:rsidRPr="006621A5">
              <w:rPr>
                <w:rFonts w:ascii="Calibri" w:hAnsi="Calibri"/>
                <w:noProof/>
                <w:sz w:val="22"/>
              </w:rPr>
              <w:t xml:space="preserve">Killick, L., Hall, H., Duff, A. S., &amp; Deakin, M. (2016). The census as an information source in public policy-making. </w:t>
            </w:r>
            <w:r w:rsidRPr="006621A5">
              <w:rPr>
                <w:rFonts w:ascii="Calibri" w:hAnsi="Calibri"/>
                <w:i/>
                <w:iCs/>
                <w:noProof/>
                <w:sz w:val="22"/>
              </w:rPr>
              <w:t>Journal of Information Science</w:t>
            </w:r>
            <w:r w:rsidRPr="006621A5">
              <w:rPr>
                <w:rFonts w:ascii="Calibri" w:hAnsi="Calibri"/>
                <w:noProof/>
                <w:sz w:val="22"/>
              </w:rPr>
              <w:t>, 0165551516628471–. http://doi.org/10.1177/0165551516628471</w:t>
            </w:r>
          </w:p>
          <w:p w:rsidR="006621A5" w:rsidRPr="006621A5" w:rsidRDefault="006621A5" w:rsidP="006621A5">
            <w:pPr>
              <w:widowControl w:val="0"/>
              <w:autoSpaceDE w:val="0"/>
              <w:autoSpaceDN w:val="0"/>
              <w:adjustRightInd w:val="0"/>
              <w:spacing w:before="100" w:after="100"/>
              <w:ind w:left="480" w:hanging="480"/>
              <w:rPr>
                <w:rFonts w:ascii="Calibri" w:hAnsi="Calibri"/>
                <w:noProof/>
                <w:sz w:val="22"/>
              </w:rPr>
            </w:pPr>
            <w:r w:rsidRPr="006621A5">
              <w:rPr>
                <w:rFonts w:ascii="Calibri" w:hAnsi="Calibri"/>
                <w:noProof/>
                <w:sz w:val="22"/>
              </w:rPr>
              <w:t xml:space="preserve">McMillen, D. (2004). Privacy, confidentiality, and data sharing: Issues and distinctions. </w:t>
            </w:r>
            <w:r w:rsidRPr="006621A5">
              <w:rPr>
                <w:rFonts w:ascii="Calibri" w:hAnsi="Calibri"/>
                <w:i/>
                <w:iCs/>
                <w:noProof/>
                <w:sz w:val="22"/>
              </w:rPr>
              <w:t>Government Information Quarterly</w:t>
            </w:r>
            <w:r w:rsidRPr="006621A5">
              <w:rPr>
                <w:rFonts w:ascii="Calibri" w:hAnsi="Calibri"/>
                <w:noProof/>
                <w:sz w:val="22"/>
              </w:rPr>
              <w:t xml:space="preserve">, </w:t>
            </w:r>
            <w:r w:rsidRPr="006621A5">
              <w:rPr>
                <w:rFonts w:ascii="Calibri" w:hAnsi="Calibri"/>
                <w:i/>
                <w:iCs/>
                <w:noProof/>
                <w:sz w:val="22"/>
              </w:rPr>
              <w:t>21</w:t>
            </w:r>
            <w:r w:rsidRPr="006621A5">
              <w:rPr>
                <w:rFonts w:ascii="Calibri" w:hAnsi="Calibri"/>
                <w:noProof/>
                <w:sz w:val="22"/>
              </w:rPr>
              <w:t>(3), 359–382. http://doi.org/10.1016/j.giq.2004.05.001</w:t>
            </w:r>
          </w:p>
          <w:p w:rsidR="006621A5" w:rsidRPr="006621A5" w:rsidRDefault="006621A5" w:rsidP="006621A5">
            <w:pPr>
              <w:widowControl w:val="0"/>
              <w:autoSpaceDE w:val="0"/>
              <w:autoSpaceDN w:val="0"/>
              <w:adjustRightInd w:val="0"/>
              <w:spacing w:before="100" w:after="100"/>
              <w:ind w:left="480" w:hanging="480"/>
              <w:rPr>
                <w:rFonts w:ascii="Calibri" w:hAnsi="Calibri"/>
                <w:noProof/>
                <w:sz w:val="22"/>
              </w:rPr>
            </w:pPr>
            <w:r w:rsidRPr="006621A5">
              <w:rPr>
                <w:rFonts w:ascii="Calibri" w:hAnsi="Calibri"/>
                <w:noProof/>
                <w:sz w:val="22"/>
              </w:rPr>
              <w:t xml:space="preserve">Seltzer, W., &amp; Anderson, M. (2001). The dark side of numbers: The role of population data systems in human rights abuses. </w:t>
            </w:r>
            <w:r w:rsidRPr="006621A5">
              <w:rPr>
                <w:rFonts w:ascii="Calibri" w:hAnsi="Calibri"/>
                <w:i/>
                <w:iCs/>
                <w:noProof/>
                <w:sz w:val="22"/>
              </w:rPr>
              <w:t>Social Research</w:t>
            </w:r>
            <w:r w:rsidRPr="006621A5">
              <w:rPr>
                <w:rFonts w:ascii="Calibri" w:hAnsi="Calibri"/>
                <w:noProof/>
                <w:sz w:val="22"/>
              </w:rPr>
              <w:t>. Retrieved from http://cat.inist.fr/?aModele=afficheN&amp;cpsidt=14209987</w:t>
            </w:r>
          </w:p>
          <w:p w:rsidR="006621A5" w:rsidRPr="006621A5" w:rsidRDefault="006621A5" w:rsidP="006621A5">
            <w:pPr>
              <w:widowControl w:val="0"/>
              <w:autoSpaceDE w:val="0"/>
              <w:autoSpaceDN w:val="0"/>
              <w:adjustRightInd w:val="0"/>
              <w:spacing w:before="100" w:after="100"/>
              <w:ind w:left="480" w:hanging="480"/>
              <w:rPr>
                <w:rFonts w:ascii="Calibri" w:hAnsi="Calibri"/>
                <w:noProof/>
                <w:sz w:val="22"/>
              </w:rPr>
            </w:pPr>
            <w:r w:rsidRPr="006621A5">
              <w:rPr>
                <w:rFonts w:ascii="Calibri" w:hAnsi="Calibri"/>
                <w:noProof/>
                <w:sz w:val="22"/>
              </w:rPr>
              <w:t xml:space="preserve">Simpson, S., &amp; Dorling, D. (1994). Those missing millions: implications for social statistics of non-response to the 1991 Census. </w:t>
            </w:r>
            <w:r w:rsidRPr="006621A5">
              <w:rPr>
                <w:rFonts w:ascii="Calibri" w:hAnsi="Calibri"/>
                <w:i/>
                <w:iCs/>
                <w:noProof/>
                <w:sz w:val="22"/>
              </w:rPr>
              <w:t>Journal of Social Policy</w:t>
            </w:r>
            <w:r w:rsidRPr="006621A5">
              <w:rPr>
                <w:rFonts w:ascii="Calibri" w:hAnsi="Calibri"/>
                <w:noProof/>
                <w:sz w:val="22"/>
              </w:rPr>
              <w:t>. Retrieved from http://journals.cambridge.org/production/action/cjoGetFulltext?fulltextid=3322620</w:t>
            </w:r>
          </w:p>
          <w:p w:rsidR="006621A5" w:rsidRPr="006621A5" w:rsidRDefault="006621A5" w:rsidP="006621A5">
            <w:pPr>
              <w:widowControl w:val="0"/>
              <w:autoSpaceDE w:val="0"/>
              <w:autoSpaceDN w:val="0"/>
              <w:adjustRightInd w:val="0"/>
              <w:spacing w:before="100" w:after="100"/>
              <w:ind w:left="480" w:hanging="480"/>
              <w:rPr>
                <w:rFonts w:ascii="Calibri" w:hAnsi="Calibri"/>
                <w:noProof/>
                <w:sz w:val="22"/>
              </w:rPr>
            </w:pPr>
            <w:r w:rsidRPr="006621A5">
              <w:rPr>
                <w:rFonts w:ascii="Calibri" w:hAnsi="Calibri"/>
                <w:noProof/>
                <w:sz w:val="22"/>
              </w:rPr>
              <w:t xml:space="preserve">Singer, E., &amp; Neugebauer, R. J. (2003). Attitudes and </w:t>
            </w:r>
            <w:r w:rsidR="00290458">
              <w:rPr>
                <w:rFonts w:ascii="Calibri" w:hAnsi="Calibri"/>
                <w:noProof/>
                <w:sz w:val="22"/>
              </w:rPr>
              <w:t>b</w:t>
            </w:r>
            <w:r w:rsidRPr="006621A5">
              <w:rPr>
                <w:rFonts w:ascii="Calibri" w:hAnsi="Calibri"/>
                <w:noProof/>
                <w:sz w:val="22"/>
              </w:rPr>
              <w:t xml:space="preserve">ehavior the </w:t>
            </w:r>
            <w:r w:rsidR="00290458">
              <w:rPr>
                <w:rFonts w:ascii="Calibri" w:hAnsi="Calibri"/>
                <w:noProof/>
                <w:sz w:val="22"/>
              </w:rPr>
              <w:t>i</w:t>
            </w:r>
            <w:r w:rsidRPr="006621A5">
              <w:rPr>
                <w:rFonts w:ascii="Calibri" w:hAnsi="Calibri"/>
                <w:noProof/>
                <w:sz w:val="22"/>
              </w:rPr>
              <w:t xml:space="preserve">mpact of </w:t>
            </w:r>
            <w:r w:rsidR="00290458">
              <w:rPr>
                <w:rFonts w:ascii="Calibri" w:hAnsi="Calibri"/>
                <w:noProof/>
                <w:sz w:val="22"/>
              </w:rPr>
              <w:t>p</w:t>
            </w:r>
            <w:r w:rsidRPr="006621A5">
              <w:rPr>
                <w:rFonts w:ascii="Calibri" w:hAnsi="Calibri"/>
                <w:noProof/>
                <w:sz w:val="22"/>
              </w:rPr>
              <w:t xml:space="preserve">rivacy and </w:t>
            </w:r>
            <w:r w:rsidR="00290458">
              <w:rPr>
                <w:rFonts w:ascii="Calibri" w:hAnsi="Calibri"/>
                <w:noProof/>
                <w:sz w:val="22"/>
              </w:rPr>
              <w:t>c</w:t>
            </w:r>
            <w:r w:rsidRPr="006621A5">
              <w:rPr>
                <w:rFonts w:ascii="Calibri" w:hAnsi="Calibri"/>
                <w:noProof/>
                <w:sz w:val="22"/>
              </w:rPr>
              <w:t xml:space="preserve">onfidentiality </w:t>
            </w:r>
            <w:r w:rsidR="00290458">
              <w:rPr>
                <w:rFonts w:ascii="Calibri" w:hAnsi="Calibri"/>
                <w:noProof/>
                <w:sz w:val="22"/>
              </w:rPr>
              <w:t>c</w:t>
            </w:r>
            <w:r w:rsidRPr="006621A5">
              <w:rPr>
                <w:rFonts w:ascii="Calibri" w:hAnsi="Calibri"/>
                <w:noProof/>
                <w:sz w:val="22"/>
              </w:rPr>
              <w:t xml:space="preserve">oncerns on </w:t>
            </w:r>
            <w:r w:rsidR="00290458">
              <w:rPr>
                <w:rFonts w:ascii="Calibri" w:hAnsi="Calibri"/>
                <w:noProof/>
                <w:sz w:val="22"/>
              </w:rPr>
              <w:t>p</w:t>
            </w:r>
            <w:r w:rsidRPr="006621A5">
              <w:rPr>
                <w:rFonts w:ascii="Calibri" w:hAnsi="Calibri"/>
                <w:noProof/>
                <w:sz w:val="22"/>
              </w:rPr>
              <w:t xml:space="preserve">articipation in the 2000 Census. </w:t>
            </w:r>
            <w:r w:rsidRPr="006621A5">
              <w:rPr>
                <w:rFonts w:ascii="Calibri" w:hAnsi="Calibri"/>
                <w:i/>
                <w:iCs/>
                <w:noProof/>
                <w:sz w:val="22"/>
              </w:rPr>
              <w:t>Public Opinion Quarterly</w:t>
            </w:r>
            <w:r w:rsidRPr="006621A5">
              <w:rPr>
                <w:rFonts w:ascii="Calibri" w:hAnsi="Calibri"/>
                <w:noProof/>
                <w:sz w:val="22"/>
              </w:rPr>
              <w:t xml:space="preserve">, </w:t>
            </w:r>
            <w:r w:rsidRPr="006621A5">
              <w:rPr>
                <w:rFonts w:ascii="Calibri" w:hAnsi="Calibri"/>
                <w:i/>
                <w:iCs/>
                <w:noProof/>
                <w:sz w:val="22"/>
              </w:rPr>
              <w:t>67</w:t>
            </w:r>
            <w:r w:rsidRPr="006621A5">
              <w:rPr>
                <w:rFonts w:ascii="Calibri" w:hAnsi="Calibri"/>
                <w:noProof/>
                <w:sz w:val="22"/>
              </w:rPr>
              <w:t>(2001), 368–384. http://doi.org/10.1086/377465</w:t>
            </w:r>
          </w:p>
          <w:p w:rsidR="006621A5" w:rsidRPr="006621A5" w:rsidRDefault="006621A5" w:rsidP="006621A5">
            <w:pPr>
              <w:widowControl w:val="0"/>
              <w:autoSpaceDE w:val="0"/>
              <w:autoSpaceDN w:val="0"/>
              <w:adjustRightInd w:val="0"/>
              <w:spacing w:before="100" w:after="100"/>
              <w:ind w:left="480" w:hanging="480"/>
              <w:rPr>
                <w:rFonts w:ascii="Calibri" w:hAnsi="Calibri"/>
                <w:noProof/>
                <w:sz w:val="22"/>
              </w:rPr>
            </w:pPr>
            <w:r w:rsidRPr="006621A5">
              <w:rPr>
                <w:rFonts w:ascii="Calibri" w:hAnsi="Calibri"/>
                <w:noProof/>
                <w:sz w:val="22"/>
              </w:rPr>
              <w:t xml:space="preserve">White, I. (2009). The 2011 Census taking shape: methodological and technological developments. </w:t>
            </w:r>
            <w:r w:rsidRPr="006621A5">
              <w:rPr>
                <w:rFonts w:ascii="Calibri" w:hAnsi="Calibri"/>
                <w:i/>
                <w:iCs/>
                <w:noProof/>
                <w:sz w:val="22"/>
              </w:rPr>
              <w:t>Population Trends</w:t>
            </w:r>
            <w:r w:rsidRPr="006621A5">
              <w:rPr>
                <w:rFonts w:ascii="Calibri" w:hAnsi="Calibri"/>
                <w:noProof/>
                <w:sz w:val="22"/>
              </w:rPr>
              <w:t>, (136), 64–72. Retrieved from http://www.ncbi.nlm.nih.gov/pubmed/19606600</w:t>
            </w:r>
          </w:p>
          <w:p w:rsidR="006621A5" w:rsidRPr="006621A5" w:rsidRDefault="006621A5" w:rsidP="006621A5">
            <w:pPr>
              <w:widowControl w:val="0"/>
              <w:autoSpaceDE w:val="0"/>
              <w:autoSpaceDN w:val="0"/>
              <w:adjustRightInd w:val="0"/>
              <w:spacing w:before="100" w:after="100"/>
              <w:ind w:left="480" w:hanging="480"/>
              <w:rPr>
                <w:rFonts w:ascii="Calibri" w:hAnsi="Calibri"/>
                <w:noProof/>
                <w:sz w:val="22"/>
              </w:rPr>
            </w:pPr>
            <w:r w:rsidRPr="006621A5">
              <w:rPr>
                <w:rFonts w:ascii="Calibri" w:hAnsi="Calibri"/>
                <w:noProof/>
                <w:sz w:val="22"/>
              </w:rPr>
              <w:t xml:space="preserve">Zedner, L. (2016). Citizenship Deprivation, Security and Human Rights. </w:t>
            </w:r>
            <w:r w:rsidRPr="006621A5">
              <w:rPr>
                <w:rFonts w:ascii="Calibri" w:hAnsi="Calibri"/>
                <w:i/>
                <w:iCs/>
                <w:noProof/>
                <w:sz w:val="22"/>
              </w:rPr>
              <w:t>European Journal of Migration and Law</w:t>
            </w:r>
            <w:r w:rsidRPr="006621A5">
              <w:rPr>
                <w:rFonts w:ascii="Calibri" w:hAnsi="Calibri"/>
                <w:noProof/>
                <w:sz w:val="22"/>
              </w:rPr>
              <w:t xml:space="preserve">, </w:t>
            </w:r>
            <w:r w:rsidRPr="006621A5">
              <w:rPr>
                <w:rFonts w:ascii="Calibri" w:hAnsi="Calibri"/>
                <w:i/>
                <w:iCs/>
                <w:noProof/>
                <w:sz w:val="22"/>
              </w:rPr>
              <w:t>18</w:t>
            </w:r>
            <w:r w:rsidRPr="006621A5">
              <w:rPr>
                <w:rFonts w:ascii="Calibri" w:hAnsi="Calibri"/>
                <w:noProof/>
                <w:sz w:val="22"/>
              </w:rPr>
              <w:t>(2), 222–242. http://doi.org/10.1163/15718166-12342100</w:t>
            </w:r>
          </w:p>
          <w:p w:rsidR="00381E21" w:rsidRPr="00414308" w:rsidRDefault="00381E21" w:rsidP="00F32657">
            <w:pPr>
              <w:pStyle w:val="NormalWeb"/>
              <w:ind w:left="480" w:hanging="480"/>
              <w:divId w:val="1175530451"/>
              <w:rPr>
                <w:rFonts w:asciiTheme="majorHAnsi" w:hAnsiTheme="majorHAnsi"/>
                <w:b/>
                <w:sz w:val="22"/>
                <w:szCs w:val="22"/>
              </w:rPr>
            </w:pPr>
            <w:r>
              <w:rPr>
                <w:rFonts w:asciiTheme="majorHAnsi" w:hAnsiTheme="majorHAnsi"/>
                <w:b/>
                <w:sz w:val="22"/>
                <w:szCs w:val="22"/>
              </w:rPr>
              <w:fldChar w:fldCharType="end"/>
            </w:r>
          </w:p>
          <w:p w:rsidR="00381E21" w:rsidRPr="00414308" w:rsidRDefault="00381E21" w:rsidP="00381E21">
            <w:pPr>
              <w:pStyle w:val="NormalWeb"/>
              <w:ind w:left="480" w:hanging="480"/>
              <w:divId w:val="648903214"/>
              <w:rPr>
                <w:rFonts w:asciiTheme="majorHAnsi" w:hAnsiTheme="majorHAnsi"/>
                <w:sz w:val="22"/>
                <w:szCs w:val="22"/>
              </w:rPr>
            </w:pPr>
          </w:p>
        </w:tc>
      </w:tr>
      <w:tr w:rsidR="00F14C32" w:rsidRPr="00414308">
        <w:trPr>
          <w:jc w:val="center"/>
        </w:trPr>
        <w:tc>
          <w:tcPr>
            <w:tcW w:w="3374" w:type="dxa"/>
          </w:tcPr>
          <w:p w:rsidR="00F14C32" w:rsidRPr="00414308" w:rsidRDefault="00F14C32" w:rsidP="00414308">
            <w:pPr>
              <w:rPr>
                <w:rFonts w:asciiTheme="majorHAnsi" w:hAnsiTheme="majorHAnsi"/>
                <w:sz w:val="22"/>
                <w:szCs w:val="22"/>
              </w:rPr>
            </w:pPr>
            <w:r w:rsidRPr="00414308">
              <w:rPr>
                <w:rFonts w:asciiTheme="majorHAnsi" w:hAnsiTheme="majorHAnsi"/>
                <w:sz w:val="22"/>
                <w:szCs w:val="22"/>
              </w:rPr>
              <w:lastRenderedPageBreak/>
              <w:t>Additional Information:</w:t>
            </w:r>
          </w:p>
        </w:tc>
        <w:tc>
          <w:tcPr>
            <w:tcW w:w="6171" w:type="dxa"/>
            <w:gridSpan w:val="2"/>
          </w:tcPr>
          <w:p w:rsidR="00F14C32" w:rsidRPr="00414308" w:rsidRDefault="00F14C32" w:rsidP="00BB2552">
            <w:pPr>
              <w:jc w:val="both"/>
              <w:rPr>
                <w:rFonts w:asciiTheme="majorHAnsi" w:hAnsiTheme="majorHAnsi"/>
                <w:sz w:val="22"/>
                <w:szCs w:val="22"/>
              </w:rPr>
            </w:pPr>
            <w:r w:rsidRPr="00414308">
              <w:rPr>
                <w:rFonts w:asciiTheme="majorHAnsi" w:hAnsiTheme="majorHAnsi"/>
                <w:sz w:val="22"/>
                <w:szCs w:val="22"/>
              </w:rPr>
              <w:t xml:space="preserve">Co-authors, Prof Alistair </w:t>
            </w:r>
            <w:r w:rsidR="00290458">
              <w:rPr>
                <w:rFonts w:asciiTheme="majorHAnsi" w:hAnsiTheme="majorHAnsi"/>
                <w:sz w:val="22"/>
                <w:szCs w:val="22"/>
              </w:rPr>
              <w:t xml:space="preserve">S </w:t>
            </w:r>
            <w:r w:rsidRPr="00414308">
              <w:rPr>
                <w:rFonts w:asciiTheme="majorHAnsi" w:hAnsiTheme="majorHAnsi"/>
                <w:sz w:val="22"/>
                <w:szCs w:val="22"/>
              </w:rPr>
              <w:t xml:space="preserve">Duff, </w:t>
            </w:r>
            <w:r w:rsidR="00BB2552" w:rsidRPr="00414308">
              <w:rPr>
                <w:rFonts w:asciiTheme="majorHAnsi" w:hAnsiTheme="majorHAnsi"/>
                <w:sz w:val="22"/>
                <w:szCs w:val="22"/>
              </w:rPr>
              <w:t xml:space="preserve">Prof Mark Deakin </w:t>
            </w:r>
            <w:r w:rsidR="00BB2552">
              <w:rPr>
                <w:rFonts w:asciiTheme="majorHAnsi" w:hAnsiTheme="majorHAnsi"/>
                <w:sz w:val="22"/>
                <w:szCs w:val="22"/>
              </w:rPr>
              <w:t xml:space="preserve">, </w:t>
            </w:r>
            <w:r w:rsidRPr="00414308">
              <w:rPr>
                <w:rFonts w:asciiTheme="majorHAnsi" w:hAnsiTheme="majorHAnsi"/>
                <w:sz w:val="22"/>
                <w:szCs w:val="22"/>
              </w:rPr>
              <w:t>Prof Hazel Hall</w:t>
            </w:r>
          </w:p>
        </w:tc>
      </w:tr>
    </w:tbl>
    <w:p w:rsidR="00F14C32" w:rsidRPr="00414308" w:rsidRDefault="00F14C32" w:rsidP="00414308">
      <w:pPr>
        <w:rPr>
          <w:rFonts w:asciiTheme="majorHAnsi" w:hAnsiTheme="majorHAnsi"/>
          <w:sz w:val="22"/>
          <w:szCs w:val="22"/>
        </w:rPr>
      </w:pPr>
    </w:p>
    <w:p w:rsidR="00F14C32" w:rsidRPr="00414308" w:rsidRDefault="00F14C32" w:rsidP="00414308">
      <w:pPr>
        <w:rPr>
          <w:rFonts w:asciiTheme="majorHAnsi" w:hAnsiTheme="majorHAnsi"/>
          <w:sz w:val="22"/>
          <w:szCs w:val="22"/>
        </w:rPr>
      </w:pPr>
      <w:r w:rsidRPr="00414308">
        <w:rPr>
          <w:rFonts w:asciiTheme="majorHAnsi" w:hAnsiTheme="majorHAnsi"/>
          <w:sz w:val="22"/>
          <w:szCs w:val="22"/>
        </w:rPr>
        <w:t xml:space="preserve">Once completed, please email this form (as an attachment) to </w:t>
      </w:r>
      <w:hyperlink r:id="rId9" w:history="1">
        <w:r w:rsidRPr="00414308">
          <w:rPr>
            <w:rStyle w:val="Hyperlink"/>
            <w:rFonts w:asciiTheme="majorHAnsi" w:hAnsiTheme="majorHAnsi"/>
            <w:sz w:val="22"/>
            <w:szCs w:val="22"/>
          </w:rPr>
          <w:t>i3submissions@rgu.ac.uk</w:t>
        </w:r>
      </w:hyperlink>
      <w:r w:rsidRPr="00414308">
        <w:rPr>
          <w:rFonts w:asciiTheme="majorHAnsi" w:hAnsiTheme="majorHAnsi"/>
          <w:sz w:val="22"/>
          <w:szCs w:val="22"/>
        </w:rPr>
        <w:t>. The receipt of your abstract will be acknowledged.</w:t>
      </w:r>
    </w:p>
    <w:sectPr w:rsidR="00F14C32" w:rsidRPr="00414308" w:rsidSect="00641600">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349" w:rsidRDefault="00E84349" w:rsidP="00D22C75">
      <w:r>
        <w:separator/>
      </w:r>
    </w:p>
  </w:endnote>
  <w:endnote w:type="continuationSeparator" w:id="0">
    <w:p w:rsidR="00E84349" w:rsidRDefault="00E84349" w:rsidP="00D2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349" w:rsidRDefault="00E84349" w:rsidP="00D22C75">
      <w:r>
        <w:separator/>
      </w:r>
    </w:p>
  </w:footnote>
  <w:footnote w:type="continuationSeparator" w:id="0">
    <w:p w:rsidR="00E84349" w:rsidRDefault="00E84349" w:rsidP="00D22C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activeWritingStyle w:appName="MSWord" w:lang="en-GB" w:vendorID="64" w:dllVersion="131078" w:nlCheck="1" w:checkStyle="0"/>
  <w:activeWritingStyle w:appName="MSWord" w:lang="en-US" w:vendorID="64" w:dllVersion="131078" w:nlCheck="1" w:checkStyle="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600"/>
    <w:rsid w:val="0001747D"/>
    <w:rsid w:val="00020C61"/>
    <w:rsid w:val="00030419"/>
    <w:rsid w:val="00063453"/>
    <w:rsid w:val="00064E58"/>
    <w:rsid w:val="000700CB"/>
    <w:rsid w:val="00070D91"/>
    <w:rsid w:val="00072FAC"/>
    <w:rsid w:val="00085060"/>
    <w:rsid w:val="000A6110"/>
    <w:rsid w:val="000E3051"/>
    <w:rsid w:val="000E43B5"/>
    <w:rsid w:val="00125DC9"/>
    <w:rsid w:val="00145FF1"/>
    <w:rsid w:val="0015588E"/>
    <w:rsid w:val="0018237D"/>
    <w:rsid w:val="00223FC8"/>
    <w:rsid w:val="0023315B"/>
    <w:rsid w:val="00274F50"/>
    <w:rsid w:val="00280E3A"/>
    <w:rsid w:val="002854B2"/>
    <w:rsid w:val="00290458"/>
    <w:rsid w:val="002B06D8"/>
    <w:rsid w:val="002C4292"/>
    <w:rsid w:val="002D6A1D"/>
    <w:rsid w:val="002E4DAA"/>
    <w:rsid w:val="002E6271"/>
    <w:rsid w:val="002F0D4F"/>
    <w:rsid w:val="003066B9"/>
    <w:rsid w:val="0031744F"/>
    <w:rsid w:val="00317F42"/>
    <w:rsid w:val="0037176F"/>
    <w:rsid w:val="00374718"/>
    <w:rsid w:val="00381E21"/>
    <w:rsid w:val="003838EF"/>
    <w:rsid w:val="00384A73"/>
    <w:rsid w:val="003A2DFF"/>
    <w:rsid w:val="003C13C1"/>
    <w:rsid w:val="003C2A32"/>
    <w:rsid w:val="003F78DB"/>
    <w:rsid w:val="00400BDC"/>
    <w:rsid w:val="00411A7A"/>
    <w:rsid w:val="00414308"/>
    <w:rsid w:val="00441A7B"/>
    <w:rsid w:val="00445B35"/>
    <w:rsid w:val="004803FD"/>
    <w:rsid w:val="004851EC"/>
    <w:rsid w:val="0049265D"/>
    <w:rsid w:val="00497D6F"/>
    <w:rsid w:val="004C6534"/>
    <w:rsid w:val="004D2829"/>
    <w:rsid w:val="004D4F8F"/>
    <w:rsid w:val="004D5011"/>
    <w:rsid w:val="004E0A7E"/>
    <w:rsid w:val="004F0D35"/>
    <w:rsid w:val="004F767A"/>
    <w:rsid w:val="00500173"/>
    <w:rsid w:val="005225CE"/>
    <w:rsid w:val="00534D43"/>
    <w:rsid w:val="0055759D"/>
    <w:rsid w:val="00566588"/>
    <w:rsid w:val="00593DA5"/>
    <w:rsid w:val="00596A84"/>
    <w:rsid w:val="005B08A1"/>
    <w:rsid w:val="005C0C3A"/>
    <w:rsid w:val="005C5C23"/>
    <w:rsid w:val="005D6D07"/>
    <w:rsid w:val="00600A15"/>
    <w:rsid w:val="006051CC"/>
    <w:rsid w:val="00620948"/>
    <w:rsid w:val="00641600"/>
    <w:rsid w:val="00646481"/>
    <w:rsid w:val="00651389"/>
    <w:rsid w:val="006621A5"/>
    <w:rsid w:val="00693290"/>
    <w:rsid w:val="00696394"/>
    <w:rsid w:val="006A2945"/>
    <w:rsid w:val="006A42FD"/>
    <w:rsid w:val="006B6D40"/>
    <w:rsid w:val="006E0D85"/>
    <w:rsid w:val="006E297C"/>
    <w:rsid w:val="006F017C"/>
    <w:rsid w:val="007246B1"/>
    <w:rsid w:val="00747CEC"/>
    <w:rsid w:val="00750DC3"/>
    <w:rsid w:val="007538D3"/>
    <w:rsid w:val="00787824"/>
    <w:rsid w:val="007937DB"/>
    <w:rsid w:val="007A39EB"/>
    <w:rsid w:val="007B17A1"/>
    <w:rsid w:val="007D4A0F"/>
    <w:rsid w:val="00800F7D"/>
    <w:rsid w:val="00812F0B"/>
    <w:rsid w:val="0081770E"/>
    <w:rsid w:val="008416DF"/>
    <w:rsid w:val="00851CA8"/>
    <w:rsid w:val="00861793"/>
    <w:rsid w:val="00866547"/>
    <w:rsid w:val="008758AB"/>
    <w:rsid w:val="00882ACD"/>
    <w:rsid w:val="00894414"/>
    <w:rsid w:val="008A71DF"/>
    <w:rsid w:val="008B3C1D"/>
    <w:rsid w:val="008D1AFD"/>
    <w:rsid w:val="008D5E8A"/>
    <w:rsid w:val="008E679A"/>
    <w:rsid w:val="008F3691"/>
    <w:rsid w:val="00905218"/>
    <w:rsid w:val="009144C5"/>
    <w:rsid w:val="00963956"/>
    <w:rsid w:val="00976FEB"/>
    <w:rsid w:val="00991F8F"/>
    <w:rsid w:val="00996B79"/>
    <w:rsid w:val="009A4C4D"/>
    <w:rsid w:val="009B082D"/>
    <w:rsid w:val="009D77ED"/>
    <w:rsid w:val="009E753A"/>
    <w:rsid w:val="009F75C3"/>
    <w:rsid w:val="00A437F1"/>
    <w:rsid w:val="00A62F1D"/>
    <w:rsid w:val="00A63F59"/>
    <w:rsid w:val="00A65081"/>
    <w:rsid w:val="00A65A89"/>
    <w:rsid w:val="00AB062F"/>
    <w:rsid w:val="00AC437A"/>
    <w:rsid w:val="00AD0DAD"/>
    <w:rsid w:val="00AE2AF0"/>
    <w:rsid w:val="00AF7F14"/>
    <w:rsid w:val="00B075B5"/>
    <w:rsid w:val="00B53EF0"/>
    <w:rsid w:val="00B72237"/>
    <w:rsid w:val="00B84EEF"/>
    <w:rsid w:val="00BB2552"/>
    <w:rsid w:val="00BE1D2B"/>
    <w:rsid w:val="00BF0434"/>
    <w:rsid w:val="00CB4D12"/>
    <w:rsid w:val="00CC032F"/>
    <w:rsid w:val="00CF6A2B"/>
    <w:rsid w:val="00D22C75"/>
    <w:rsid w:val="00D502AE"/>
    <w:rsid w:val="00D52D73"/>
    <w:rsid w:val="00D531CC"/>
    <w:rsid w:val="00D61CA3"/>
    <w:rsid w:val="00D662AD"/>
    <w:rsid w:val="00D742D5"/>
    <w:rsid w:val="00D809F6"/>
    <w:rsid w:val="00D9631D"/>
    <w:rsid w:val="00DC0A99"/>
    <w:rsid w:val="00DE4363"/>
    <w:rsid w:val="00DE6634"/>
    <w:rsid w:val="00DF4FDD"/>
    <w:rsid w:val="00E01C05"/>
    <w:rsid w:val="00E15821"/>
    <w:rsid w:val="00E223B8"/>
    <w:rsid w:val="00E3253B"/>
    <w:rsid w:val="00E84349"/>
    <w:rsid w:val="00E8542B"/>
    <w:rsid w:val="00EB1F06"/>
    <w:rsid w:val="00EB3164"/>
    <w:rsid w:val="00EF03F2"/>
    <w:rsid w:val="00EF5D83"/>
    <w:rsid w:val="00F011FB"/>
    <w:rsid w:val="00F11785"/>
    <w:rsid w:val="00F13635"/>
    <w:rsid w:val="00F14C32"/>
    <w:rsid w:val="00F24534"/>
    <w:rsid w:val="00F32657"/>
    <w:rsid w:val="00F52B2B"/>
    <w:rsid w:val="00F55ACE"/>
    <w:rsid w:val="00FA1FA2"/>
    <w:rsid w:val="00FA3216"/>
    <w:rsid w:val="00FA641B"/>
    <w:rsid w:val="00FD3DC1"/>
    <w:rsid w:val="00FD512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959F9CF6-E370-454A-AD78-B05722EA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B35"/>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41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41600"/>
    <w:rPr>
      <w:rFonts w:cs="Times New Roman"/>
      <w:color w:val="0000FF"/>
      <w:u w:val="single"/>
    </w:rPr>
  </w:style>
  <w:style w:type="paragraph" w:styleId="BalloonText">
    <w:name w:val="Balloon Text"/>
    <w:basedOn w:val="Normal"/>
    <w:link w:val="BalloonTextChar"/>
    <w:uiPriority w:val="99"/>
    <w:semiHidden/>
    <w:rsid w:val="00D9631D"/>
    <w:rPr>
      <w:rFonts w:ascii="Tahoma" w:hAnsi="Tahoma" w:cs="Tahoma"/>
      <w:sz w:val="16"/>
      <w:szCs w:val="16"/>
    </w:rPr>
  </w:style>
  <w:style w:type="character" w:customStyle="1" w:styleId="BalloonTextChar">
    <w:name w:val="Balloon Text Char"/>
    <w:basedOn w:val="DefaultParagraphFont"/>
    <w:link w:val="BalloonText"/>
    <w:uiPriority w:val="99"/>
    <w:semiHidden/>
    <w:rsid w:val="00D9631D"/>
    <w:rPr>
      <w:rFonts w:ascii="Tahoma" w:hAnsi="Tahoma" w:cs="Tahoma"/>
      <w:sz w:val="16"/>
    </w:rPr>
  </w:style>
  <w:style w:type="paragraph" w:styleId="NormalWeb">
    <w:name w:val="Normal (Web)"/>
    <w:basedOn w:val="Normal"/>
    <w:uiPriority w:val="99"/>
    <w:unhideWhenUsed/>
    <w:rsid w:val="00CC032F"/>
    <w:pPr>
      <w:spacing w:before="100" w:beforeAutospacing="1" w:after="100" w:afterAutospacing="1"/>
    </w:pPr>
    <w:rPr>
      <w:rFonts w:ascii="Times" w:eastAsia="MS Mincho" w:hAnsi="Times"/>
      <w:sz w:val="20"/>
      <w:szCs w:val="20"/>
      <w:lang w:eastAsia="en-US"/>
    </w:rPr>
  </w:style>
  <w:style w:type="character" w:styleId="CommentReference">
    <w:name w:val="annotation reference"/>
    <w:basedOn w:val="DefaultParagraphFont"/>
    <w:uiPriority w:val="99"/>
    <w:semiHidden/>
    <w:unhideWhenUsed/>
    <w:rsid w:val="00414308"/>
    <w:rPr>
      <w:sz w:val="16"/>
      <w:szCs w:val="16"/>
    </w:rPr>
  </w:style>
  <w:style w:type="paragraph" w:styleId="CommentText">
    <w:name w:val="annotation text"/>
    <w:basedOn w:val="Normal"/>
    <w:link w:val="CommentTextChar"/>
    <w:uiPriority w:val="99"/>
    <w:semiHidden/>
    <w:unhideWhenUsed/>
    <w:rsid w:val="00414308"/>
    <w:rPr>
      <w:sz w:val="20"/>
      <w:szCs w:val="20"/>
    </w:rPr>
  </w:style>
  <w:style w:type="character" w:customStyle="1" w:styleId="CommentTextChar">
    <w:name w:val="Comment Text Char"/>
    <w:basedOn w:val="DefaultParagraphFont"/>
    <w:link w:val="CommentText"/>
    <w:uiPriority w:val="99"/>
    <w:semiHidden/>
    <w:rsid w:val="00414308"/>
    <w:rPr>
      <w:lang w:val="en-GB" w:eastAsia="en-GB"/>
    </w:rPr>
  </w:style>
  <w:style w:type="paragraph" w:styleId="CommentSubject">
    <w:name w:val="annotation subject"/>
    <w:basedOn w:val="CommentText"/>
    <w:next w:val="CommentText"/>
    <w:link w:val="CommentSubjectChar"/>
    <w:uiPriority w:val="99"/>
    <w:semiHidden/>
    <w:unhideWhenUsed/>
    <w:rsid w:val="00414308"/>
    <w:rPr>
      <w:b/>
      <w:bCs/>
    </w:rPr>
  </w:style>
  <w:style w:type="character" w:customStyle="1" w:styleId="CommentSubjectChar">
    <w:name w:val="Comment Subject Char"/>
    <w:basedOn w:val="CommentTextChar"/>
    <w:link w:val="CommentSubject"/>
    <w:uiPriority w:val="99"/>
    <w:semiHidden/>
    <w:rsid w:val="00414308"/>
    <w:rPr>
      <w:b/>
      <w:bCs/>
      <w:lang w:val="en-GB" w:eastAsia="en-GB"/>
    </w:rPr>
  </w:style>
  <w:style w:type="character" w:styleId="Emphasis">
    <w:name w:val="Emphasis"/>
    <w:basedOn w:val="DefaultParagraphFont"/>
    <w:uiPriority w:val="20"/>
    <w:qFormat/>
    <w:rsid w:val="00381E21"/>
    <w:rPr>
      <w:i/>
      <w:iCs/>
    </w:rPr>
  </w:style>
  <w:style w:type="character" w:styleId="Strong">
    <w:name w:val="Strong"/>
    <w:basedOn w:val="DefaultParagraphFont"/>
    <w:uiPriority w:val="22"/>
    <w:qFormat/>
    <w:rsid w:val="00A65A89"/>
    <w:rPr>
      <w:b/>
      <w:bCs/>
    </w:rPr>
  </w:style>
  <w:style w:type="paragraph" w:styleId="Header">
    <w:name w:val="header"/>
    <w:basedOn w:val="Normal"/>
    <w:link w:val="HeaderChar"/>
    <w:uiPriority w:val="99"/>
    <w:unhideWhenUsed/>
    <w:rsid w:val="00D22C75"/>
    <w:pPr>
      <w:tabs>
        <w:tab w:val="center" w:pos="4513"/>
        <w:tab w:val="right" w:pos="9026"/>
      </w:tabs>
    </w:pPr>
  </w:style>
  <w:style w:type="character" w:customStyle="1" w:styleId="HeaderChar">
    <w:name w:val="Header Char"/>
    <w:basedOn w:val="DefaultParagraphFont"/>
    <w:link w:val="Header"/>
    <w:uiPriority w:val="99"/>
    <w:rsid w:val="00D22C75"/>
    <w:rPr>
      <w:sz w:val="24"/>
      <w:szCs w:val="24"/>
      <w:lang w:val="en-GB" w:eastAsia="en-GB"/>
    </w:rPr>
  </w:style>
  <w:style w:type="paragraph" w:styleId="Footer">
    <w:name w:val="footer"/>
    <w:basedOn w:val="Normal"/>
    <w:link w:val="FooterChar"/>
    <w:uiPriority w:val="99"/>
    <w:unhideWhenUsed/>
    <w:rsid w:val="00D22C75"/>
    <w:pPr>
      <w:tabs>
        <w:tab w:val="center" w:pos="4513"/>
        <w:tab w:val="right" w:pos="9026"/>
      </w:tabs>
    </w:pPr>
  </w:style>
  <w:style w:type="character" w:customStyle="1" w:styleId="FooterChar">
    <w:name w:val="Footer Char"/>
    <w:basedOn w:val="DefaultParagraphFont"/>
    <w:link w:val="Footer"/>
    <w:uiPriority w:val="99"/>
    <w:rsid w:val="00D22C75"/>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933188">
      <w:bodyDiv w:val="1"/>
      <w:marLeft w:val="0"/>
      <w:marRight w:val="0"/>
      <w:marTop w:val="0"/>
      <w:marBottom w:val="0"/>
      <w:divBdr>
        <w:top w:val="none" w:sz="0" w:space="0" w:color="auto"/>
        <w:left w:val="none" w:sz="0" w:space="0" w:color="auto"/>
        <w:bottom w:val="none" w:sz="0" w:space="0" w:color="auto"/>
        <w:right w:val="none" w:sz="0" w:space="0" w:color="auto"/>
      </w:divBdr>
      <w:divsChild>
        <w:div w:id="1210923742">
          <w:marLeft w:val="0"/>
          <w:marRight w:val="0"/>
          <w:marTop w:val="0"/>
          <w:marBottom w:val="0"/>
          <w:divBdr>
            <w:top w:val="none" w:sz="0" w:space="0" w:color="auto"/>
            <w:left w:val="none" w:sz="0" w:space="0" w:color="auto"/>
            <w:bottom w:val="none" w:sz="0" w:space="0" w:color="auto"/>
            <w:right w:val="none" w:sz="0" w:space="0" w:color="auto"/>
          </w:divBdr>
          <w:divsChild>
            <w:div w:id="999500812">
              <w:marLeft w:val="0"/>
              <w:marRight w:val="0"/>
              <w:marTop w:val="0"/>
              <w:marBottom w:val="0"/>
              <w:divBdr>
                <w:top w:val="none" w:sz="0" w:space="0" w:color="auto"/>
                <w:left w:val="none" w:sz="0" w:space="0" w:color="auto"/>
                <w:bottom w:val="none" w:sz="0" w:space="0" w:color="auto"/>
                <w:right w:val="none" w:sz="0" w:space="0" w:color="auto"/>
              </w:divBdr>
              <w:divsChild>
                <w:div w:id="577903638">
                  <w:marLeft w:val="0"/>
                  <w:marRight w:val="0"/>
                  <w:marTop w:val="0"/>
                  <w:marBottom w:val="0"/>
                  <w:divBdr>
                    <w:top w:val="none" w:sz="0" w:space="0" w:color="auto"/>
                    <w:left w:val="none" w:sz="0" w:space="0" w:color="auto"/>
                    <w:bottom w:val="none" w:sz="0" w:space="0" w:color="auto"/>
                    <w:right w:val="none" w:sz="0" w:space="0" w:color="auto"/>
                  </w:divBdr>
                  <w:divsChild>
                    <w:div w:id="671569824">
                      <w:marLeft w:val="0"/>
                      <w:marRight w:val="0"/>
                      <w:marTop w:val="0"/>
                      <w:marBottom w:val="0"/>
                      <w:divBdr>
                        <w:top w:val="none" w:sz="0" w:space="0" w:color="auto"/>
                        <w:left w:val="none" w:sz="0" w:space="0" w:color="auto"/>
                        <w:bottom w:val="none" w:sz="0" w:space="0" w:color="auto"/>
                        <w:right w:val="none" w:sz="0" w:space="0" w:color="auto"/>
                      </w:divBdr>
                    </w:div>
                    <w:div w:id="601885193">
                      <w:marLeft w:val="0"/>
                      <w:marRight w:val="0"/>
                      <w:marTop w:val="0"/>
                      <w:marBottom w:val="0"/>
                      <w:divBdr>
                        <w:top w:val="none" w:sz="0" w:space="0" w:color="auto"/>
                        <w:left w:val="none" w:sz="0" w:space="0" w:color="auto"/>
                        <w:bottom w:val="none" w:sz="0" w:space="0" w:color="auto"/>
                        <w:right w:val="none" w:sz="0" w:space="0" w:color="auto"/>
                      </w:divBdr>
                      <w:divsChild>
                        <w:div w:id="2047947508">
                          <w:marLeft w:val="0"/>
                          <w:marRight w:val="0"/>
                          <w:marTop w:val="0"/>
                          <w:marBottom w:val="0"/>
                          <w:divBdr>
                            <w:top w:val="none" w:sz="0" w:space="0" w:color="auto"/>
                            <w:left w:val="none" w:sz="0" w:space="0" w:color="auto"/>
                            <w:bottom w:val="none" w:sz="0" w:space="0" w:color="auto"/>
                            <w:right w:val="none" w:sz="0" w:space="0" w:color="auto"/>
                          </w:divBdr>
                          <w:divsChild>
                            <w:div w:id="359598014">
                              <w:marLeft w:val="0"/>
                              <w:marRight w:val="0"/>
                              <w:marTop w:val="0"/>
                              <w:marBottom w:val="0"/>
                              <w:divBdr>
                                <w:top w:val="none" w:sz="0" w:space="0" w:color="auto"/>
                                <w:left w:val="none" w:sz="0" w:space="0" w:color="auto"/>
                                <w:bottom w:val="none" w:sz="0" w:space="0" w:color="auto"/>
                                <w:right w:val="none" w:sz="0" w:space="0" w:color="auto"/>
                              </w:divBdr>
                              <w:divsChild>
                                <w:div w:id="1545874965">
                                  <w:marLeft w:val="0"/>
                                  <w:marRight w:val="0"/>
                                  <w:marTop w:val="0"/>
                                  <w:marBottom w:val="0"/>
                                  <w:divBdr>
                                    <w:top w:val="none" w:sz="0" w:space="0" w:color="auto"/>
                                    <w:left w:val="none" w:sz="0" w:space="0" w:color="auto"/>
                                    <w:bottom w:val="none" w:sz="0" w:space="0" w:color="auto"/>
                                    <w:right w:val="none" w:sz="0" w:space="0" w:color="auto"/>
                                  </w:divBdr>
                                  <w:divsChild>
                                    <w:div w:id="960768153">
                                      <w:marLeft w:val="0"/>
                                      <w:marRight w:val="0"/>
                                      <w:marTop w:val="0"/>
                                      <w:marBottom w:val="0"/>
                                      <w:divBdr>
                                        <w:top w:val="none" w:sz="0" w:space="0" w:color="auto"/>
                                        <w:left w:val="none" w:sz="0" w:space="0" w:color="auto"/>
                                        <w:bottom w:val="none" w:sz="0" w:space="0" w:color="auto"/>
                                        <w:right w:val="none" w:sz="0" w:space="0" w:color="auto"/>
                                      </w:divBdr>
                                      <w:divsChild>
                                        <w:div w:id="1827284997">
                                          <w:marLeft w:val="0"/>
                                          <w:marRight w:val="0"/>
                                          <w:marTop w:val="0"/>
                                          <w:marBottom w:val="0"/>
                                          <w:divBdr>
                                            <w:top w:val="none" w:sz="0" w:space="0" w:color="auto"/>
                                            <w:left w:val="none" w:sz="0" w:space="0" w:color="auto"/>
                                            <w:bottom w:val="none" w:sz="0" w:space="0" w:color="auto"/>
                                            <w:right w:val="none" w:sz="0" w:space="0" w:color="auto"/>
                                          </w:divBdr>
                                          <w:divsChild>
                                            <w:div w:id="842479413">
                                              <w:marLeft w:val="0"/>
                                              <w:marRight w:val="0"/>
                                              <w:marTop w:val="0"/>
                                              <w:marBottom w:val="0"/>
                                              <w:divBdr>
                                                <w:top w:val="none" w:sz="0" w:space="0" w:color="auto"/>
                                                <w:left w:val="none" w:sz="0" w:space="0" w:color="auto"/>
                                                <w:bottom w:val="none" w:sz="0" w:space="0" w:color="auto"/>
                                                <w:right w:val="none" w:sz="0" w:space="0" w:color="auto"/>
                                              </w:divBdr>
                                              <w:divsChild>
                                                <w:div w:id="248849012">
                                                  <w:marLeft w:val="0"/>
                                                  <w:marRight w:val="0"/>
                                                  <w:marTop w:val="0"/>
                                                  <w:marBottom w:val="0"/>
                                                  <w:divBdr>
                                                    <w:top w:val="none" w:sz="0" w:space="0" w:color="auto"/>
                                                    <w:left w:val="none" w:sz="0" w:space="0" w:color="auto"/>
                                                    <w:bottom w:val="none" w:sz="0" w:space="0" w:color="auto"/>
                                                    <w:right w:val="none" w:sz="0" w:space="0" w:color="auto"/>
                                                  </w:divBdr>
                                                  <w:divsChild>
                                                    <w:div w:id="1606497781">
                                                      <w:marLeft w:val="0"/>
                                                      <w:marRight w:val="0"/>
                                                      <w:marTop w:val="0"/>
                                                      <w:marBottom w:val="0"/>
                                                      <w:divBdr>
                                                        <w:top w:val="none" w:sz="0" w:space="0" w:color="auto"/>
                                                        <w:left w:val="none" w:sz="0" w:space="0" w:color="auto"/>
                                                        <w:bottom w:val="none" w:sz="0" w:space="0" w:color="auto"/>
                                                        <w:right w:val="none" w:sz="0" w:space="0" w:color="auto"/>
                                                      </w:divBdr>
                                                      <w:divsChild>
                                                        <w:div w:id="1175530451">
                                                          <w:marLeft w:val="0"/>
                                                          <w:marRight w:val="0"/>
                                                          <w:marTop w:val="0"/>
                                                          <w:marBottom w:val="0"/>
                                                          <w:divBdr>
                                                            <w:top w:val="none" w:sz="0" w:space="0" w:color="auto"/>
                                                            <w:left w:val="none" w:sz="0" w:space="0" w:color="auto"/>
                                                            <w:bottom w:val="none" w:sz="0" w:space="0" w:color="auto"/>
                                                            <w:right w:val="none" w:sz="0" w:space="0" w:color="auto"/>
                                                          </w:divBdr>
                                                          <w:divsChild>
                                                            <w:div w:id="20642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1536839">
      <w:bodyDiv w:val="1"/>
      <w:marLeft w:val="0"/>
      <w:marRight w:val="0"/>
      <w:marTop w:val="0"/>
      <w:marBottom w:val="0"/>
      <w:divBdr>
        <w:top w:val="none" w:sz="0" w:space="0" w:color="auto"/>
        <w:left w:val="none" w:sz="0" w:space="0" w:color="auto"/>
        <w:bottom w:val="none" w:sz="0" w:space="0" w:color="auto"/>
        <w:right w:val="none" w:sz="0" w:space="0" w:color="auto"/>
      </w:divBdr>
      <w:divsChild>
        <w:div w:id="165167504">
          <w:marLeft w:val="0"/>
          <w:marRight w:val="0"/>
          <w:marTop w:val="0"/>
          <w:marBottom w:val="0"/>
          <w:divBdr>
            <w:top w:val="none" w:sz="0" w:space="0" w:color="auto"/>
            <w:left w:val="none" w:sz="0" w:space="0" w:color="auto"/>
            <w:bottom w:val="none" w:sz="0" w:space="0" w:color="auto"/>
            <w:right w:val="none" w:sz="0" w:space="0" w:color="auto"/>
          </w:divBdr>
          <w:divsChild>
            <w:div w:id="1126117988">
              <w:marLeft w:val="0"/>
              <w:marRight w:val="0"/>
              <w:marTop w:val="0"/>
              <w:marBottom w:val="0"/>
              <w:divBdr>
                <w:top w:val="none" w:sz="0" w:space="0" w:color="auto"/>
                <w:left w:val="none" w:sz="0" w:space="0" w:color="auto"/>
                <w:bottom w:val="none" w:sz="0" w:space="0" w:color="auto"/>
                <w:right w:val="none" w:sz="0" w:space="0" w:color="auto"/>
              </w:divBdr>
              <w:divsChild>
                <w:div w:id="907882036">
                  <w:marLeft w:val="0"/>
                  <w:marRight w:val="0"/>
                  <w:marTop w:val="0"/>
                  <w:marBottom w:val="0"/>
                  <w:divBdr>
                    <w:top w:val="none" w:sz="0" w:space="0" w:color="auto"/>
                    <w:left w:val="none" w:sz="0" w:space="0" w:color="auto"/>
                    <w:bottom w:val="none" w:sz="0" w:space="0" w:color="auto"/>
                    <w:right w:val="none" w:sz="0" w:space="0" w:color="auto"/>
                  </w:divBdr>
                  <w:divsChild>
                    <w:div w:id="648903214">
                      <w:marLeft w:val="0"/>
                      <w:marRight w:val="0"/>
                      <w:marTop w:val="0"/>
                      <w:marBottom w:val="0"/>
                      <w:divBdr>
                        <w:top w:val="none" w:sz="0" w:space="0" w:color="auto"/>
                        <w:left w:val="none" w:sz="0" w:space="0" w:color="auto"/>
                        <w:bottom w:val="none" w:sz="0" w:space="0" w:color="auto"/>
                        <w:right w:val="none" w:sz="0" w:space="0" w:color="auto"/>
                      </w:divBdr>
                      <w:divsChild>
                        <w:div w:id="81614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l.killick@napier.ac.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3submissions@rg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9D3D4-500D-47FC-8458-DB4D7AD4A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5403</Words>
  <Characters>30798</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Robert Gordon University</Company>
  <LinksUpToDate>false</LinksUpToDate>
  <CharactersWithSpaces>36129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Gibson, Lyn</cp:lastModifiedBy>
  <cp:revision>2</cp:revision>
  <cp:lastPrinted>2017-01-25T13:43:00Z</cp:lastPrinted>
  <dcterms:created xsi:type="dcterms:W3CDTF">2017-04-24T08:21:00Z</dcterms:created>
  <dcterms:modified xsi:type="dcterms:W3CDTF">2017-04-24T08:21:00Z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ndeley Document_1">
    <vt:lpwstr>True</vt:lpwstr>
  </property>
  <property fmtid="{D5CDD505-2E9C-101B-9397-08002B2CF9AE}" pid="4" name="Mendeley User Name_1">
    <vt:lpwstr>l.killick@napier.ac.uk@www.mendeley.com</vt:lpwstr>
  </property>
  <property fmtid="{D5CDD505-2E9C-101B-9397-08002B2CF9AE}" pid="5" name="Mendeley Citation Style_1">
    <vt:lpwstr>http://www.zotero.org/styles/apa</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6th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16th edition (author-date)</vt:lpwstr>
  </property>
  <property fmtid="{D5CDD505-2E9C-101B-9397-08002B2CF9AE}" pid="14" name="Mendeley Recent Style Id 4_1">
    <vt:lpwstr>http://www.zotero.org/styles/harvard1</vt:lpwstr>
  </property>
  <property fmtid="{D5CDD505-2E9C-101B-9397-08002B2CF9AE}" pid="15" name="Mendeley Recent Style Name 4_1">
    <vt:lpwstr>Harvard Reference format 1 (author-date)</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7th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