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127EE" w14:textId="684C833A" w:rsidR="002375DA" w:rsidRPr="00520C7C" w:rsidRDefault="002116CF" w:rsidP="003B725D">
      <w:pPr>
        <w:spacing w:after="160" w:line="480" w:lineRule="auto"/>
        <w:rPr>
          <w:rFonts w:eastAsia="Times New Roman"/>
          <w:szCs w:val="22"/>
          <w:shd w:val="clear" w:color="auto" w:fill="FFFFFF"/>
        </w:rPr>
      </w:pPr>
      <w:r w:rsidRPr="00520C7C">
        <w:rPr>
          <w:rFonts w:eastAsia="Times New Roman"/>
          <w:szCs w:val="22"/>
          <w:shd w:val="clear" w:color="auto" w:fill="FFFFFF"/>
        </w:rPr>
        <w:t xml:space="preserve">Prototyping for public health in a local context: </w:t>
      </w:r>
      <w:r w:rsidR="006C67AB" w:rsidRPr="00520C7C">
        <w:rPr>
          <w:rFonts w:eastAsia="Times New Roman"/>
          <w:szCs w:val="22"/>
          <w:shd w:val="clear" w:color="auto" w:fill="FFFFFF"/>
        </w:rPr>
        <w:t xml:space="preserve">a </w:t>
      </w:r>
      <w:r w:rsidRPr="00520C7C">
        <w:rPr>
          <w:rFonts w:eastAsia="Times New Roman"/>
          <w:szCs w:val="22"/>
          <w:shd w:val="clear" w:color="auto" w:fill="FFFFFF"/>
        </w:rPr>
        <w:t>streamlined evaluation of a community-based weight management programme (Momenta)</w:t>
      </w:r>
      <w:r w:rsidR="006C67AB" w:rsidRPr="00520C7C">
        <w:rPr>
          <w:rFonts w:eastAsia="Times New Roman"/>
          <w:szCs w:val="22"/>
          <w:shd w:val="clear" w:color="auto" w:fill="FFFFFF"/>
        </w:rPr>
        <w:t>, Northumberland, UK</w:t>
      </w:r>
    </w:p>
    <w:p w14:paraId="3EE95E71" w14:textId="77777777" w:rsidR="005377A6" w:rsidRPr="00520C7C" w:rsidRDefault="005377A6" w:rsidP="00701C78">
      <w:pPr>
        <w:spacing w:after="100" w:afterAutospacing="1" w:line="480" w:lineRule="auto"/>
        <w:contextualSpacing/>
        <w:rPr>
          <w:rFonts w:eastAsia="Times New Roman"/>
        </w:rPr>
      </w:pPr>
    </w:p>
    <w:p w14:paraId="30D60F09" w14:textId="5F6F23D9" w:rsidR="005377A6" w:rsidRPr="00520C7C" w:rsidRDefault="00DB069A" w:rsidP="00701C78">
      <w:pPr>
        <w:spacing w:line="480" w:lineRule="auto"/>
        <w:rPr>
          <w:rFonts w:eastAsia="Times New Roman"/>
          <w:shd w:val="clear" w:color="auto" w:fill="FFFFFF"/>
        </w:rPr>
      </w:pPr>
      <w:r w:rsidRPr="00520C7C">
        <w:rPr>
          <w:rFonts w:eastAsia="Times New Roman"/>
          <w:shd w:val="clear" w:color="auto" w:fill="FFFFFF"/>
        </w:rPr>
        <w:t>Caroline</w:t>
      </w:r>
      <w:r w:rsidR="001E5C46" w:rsidRPr="00520C7C">
        <w:rPr>
          <w:rFonts w:eastAsia="Times New Roman"/>
          <w:shd w:val="clear" w:color="auto" w:fill="FFFFFF"/>
        </w:rPr>
        <w:t xml:space="preserve"> </w:t>
      </w:r>
      <w:r w:rsidR="00A57C1D" w:rsidRPr="00520C7C">
        <w:rPr>
          <w:rFonts w:eastAsia="Times New Roman"/>
          <w:shd w:val="clear" w:color="auto" w:fill="FFFFFF"/>
        </w:rPr>
        <w:t xml:space="preserve">J </w:t>
      </w:r>
      <w:r w:rsidR="001E5C46" w:rsidRPr="00520C7C">
        <w:rPr>
          <w:rFonts w:eastAsia="Times New Roman"/>
          <w:shd w:val="clear" w:color="auto" w:fill="FFFFFF"/>
        </w:rPr>
        <w:t>Dodd-Reynolds</w:t>
      </w:r>
      <w:r w:rsidR="001E5C46" w:rsidRPr="00520C7C">
        <w:rPr>
          <w:rFonts w:eastAsia="Times New Roman"/>
          <w:vertAlign w:val="superscript"/>
        </w:rPr>
        <w:t>1</w:t>
      </w:r>
      <w:proofErr w:type="gramStart"/>
      <w:r w:rsidR="001E5C46" w:rsidRPr="00520C7C">
        <w:rPr>
          <w:rFonts w:eastAsia="Times New Roman"/>
          <w:vertAlign w:val="superscript"/>
        </w:rPr>
        <w:t>,2</w:t>
      </w:r>
      <w:proofErr w:type="gramEnd"/>
      <w:r w:rsidR="00562103" w:rsidRPr="00520C7C">
        <w:rPr>
          <w:rFonts w:eastAsia="Times New Roman"/>
        </w:rPr>
        <w:t xml:space="preserve"> (corresponding author</w:t>
      </w:r>
      <w:r w:rsidR="00D83B61" w:rsidRPr="00520C7C">
        <w:rPr>
          <w:rFonts w:eastAsia="Times New Roman"/>
        </w:rPr>
        <w:t>*</w:t>
      </w:r>
      <w:r w:rsidR="00562103" w:rsidRPr="00520C7C">
        <w:rPr>
          <w:rFonts w:eastAsia="Times New Roman"/>
        </w:rPr>
        <w:t>)</w:t>
      </w:r>
      <w:r w:rsidR="001E5C46" w:rsidRPr="00520C7C">
        <w:rPr>
          <w:rFonts w:eastAsia="Times New Roman"/>
          <w:shd w:val="clear" w:color="auto" w:fill="FFFFFF"/>
        </w:rPr>
        <w:t xml:space="preserve">, </w:t>
      </w:r>
      <w:r w:rsidRPr="00520C7C">
        <w:rPr>
          <w:rFonts w:eastAsia="Times New Roman"/>
          <w:shd w:val="clear" w:color="auto" w:fill="FFFFFF"/>
        </w:rPr>
        <w:t>Lisa Nevens</w:t>
      </w:r>
      <w:r w:rsidRPr="00520C7C">
        <w:rPr>
          <w:rFonts w:eastAsia="Times New Roman"/>
          <w:shd w:val="clear" w:color="auto" w:fill="FFFFFF"/>
          <w:vertAlign w:val="superscript"/>
        </w:rPr>
        <w:t>3</w:t>
      </w:r>
      <w:r w:rsidRPr="00520C7C">
        <w:rPr>
          <w:rFonts w:eastAsia="Times New Roman"/>
          <w:shd w:val="clear" w:color="auto" w:fill="FFFFFF"/>
        </w:rPr>
        <w:t xml:space="preserve">, </w:t>
      </w:r>
      <w:r w:rsidR="001E5C46" w:rsidRPr="00520C7C">
        <w:rPr>
          <w:rFonts w:eastAsia="Times New Roman"/>
          <w:shd w:val="clear" w:color="auto" w:fill="FFFFFF"/>
        </w:rPr>
        <w:t xml:space="preserve">Emily </w:t>
      </w:r>
      <w:r w:rsidR="00A57C1D" w:rsidRPr="00520C7C">
        <w:rPr>
          <w:rFonts w:eastAsia="Times New Roman"/>
          <w:shd w:val="clear" w:color="auto" w:fill="FFFFFF"/>
        </w:rPr>
        <w:t xml:space="preserve">J </w:t>
      </w:r>
      <w:r w:rsidR="001E5C46" w:rsidRPr="00520C7C">
        <w:rPr>
          <w:rFonts w:eastAsia="Times New Roman"/>
          <w:shd w:val="clear" w:color="auto" w:fill="FFFFFF"/>
        </w:rPr>
        <w:t>Oliver</w:t>
      </w:r>
      <w:r w:rsidR="001E5C46" w:rsidRPr="00520C7C">
        <w:rPr>
          <w:rFonts w:eastAsia="Times New Roman"/>
          <w:vertAlign w:val="superscript"/>
        </w:rPr>
        <w:t>1,2</w:t>
      </w:r>
      <w:r w:rsidR="001E5C46" w:rsidRPr="00520C7C">
        <w:rPr>
          <w:rFonts w:eastAsia="Times New Roman"/>
          <w:shd w:val="clear" w:color="auto" w:fill="FFFFFF"/>
        </w:rPr>
        <w:t>, Tracy Finch</w:t>
      </w:r>
      <w:r w:rsidR="008E38F2" w:rsidRPr="00520C7C">
        <w:rPr>
          <w:rFonts w:eastAsia="Times New Roman"/>
          <w:shd w:val="clear" w:color="auto" w:fill="FFFFFF"/>
          <w:vertAlign w:val="superscript"/>
        </w:rPr>
        <w:t>4</w:t>
      </w:r>
      <w:r w:rsidRPr="00520C7C">
        <w:rPr>
          <w:rFonts w:eastAsia="Times New Roman"/>
          <w:shd w:val="clear" w:color="auto" w:fill="FFFFFF"/>
        </w:rPr>
        <w:t>, Amelia A Lake</w:t>
      </w:r>
      <w:r w:rsidR="00E56B55" w:rsidRPr="00520C7C">
        <w:rPr>
          <w:rFonts w:eastAsia="Times New Roman"/>
          <w:shd w:val="clear" w:color="auto" w:fill="FFFFFF"/>
          <w:vertAlign w:val="superscript"/>
        </w:rPr>
        <w:t>56</w:t>
      </w:r>
      <w:r w:rsidRPr="00520C7C">
        <w:rPr>
          <w:rFonts w:eastAsia="Times New Roman"/>
          <w:shd w:val="clear" w:color="auto" w:fill="FFFFFF"/>
        </w:rPr>
        <w:t xml:space="preserve"> Coral </w:t>
      </w:r>
      <w:r w:rsidR="00A57C1D" w:rsidRPr="00520C7C">
        <w:rPr>
          <w:rFonts w:eastAsia="Times New Roman"/>
          <w:shd w:val="clear" w:color="auto" w:fill="FFFFFF"/>
        </w:rPr>
        <w:t xml:space="preserve">L </w:t>
      </w:r>
      <w:r w:rsidRPr="00520C7C">
        <w:rPr>
          <w:rFonts w:eastAsia="Times New Roman"/>
          <w:shd w:val="clear" w:color="auto" w:fill="FFFFFF"/>
        </w:rPr>
        <w:t>Hanson</w:t>
      </w:r>
      <w:r w:rsidR="00E56B55" w:rsidRPr="00520C7C">
        <w:rPr>
          <w:rFonts w:eastAsia="Times New Roman"/>
          <w:shd w:val="clear" w:color="auto" w:fill="FFFFFF"/>
          <w:vertAlign w:val="superscript"/>
        </w:rPr>
        <w:t>7</w:t>
      </w:r>
    </w:p>
    <w:p w14:paraId="50A64C64" w14:textId="6298AB73" w:rsidR="00F6678F" w:rsidRPr="00520C7C" w:rsidRDefault="00F6678F" w:rsidP="00701C78">
      <w:pPr>
        <w:spacing w:line="480" w:lineRule="auto"/>
        <w:rPr>
          <w:rFonts w:eastAsia="Times New Roman"/>
        </w:rPr>
      </w:pPr>
    </w:p>
    <w:p w14:paraId="6D309D82" w14:textId="244ADC8F" w:rsidR="00D83B61" w:rsidRPr="00520C7C" w:rsidRDefault="005377A6" w:rsidP="00701C78">
      <w:pPr>
        <w:spacing w:line="480" w:lineRule="auto"/>
        <w:rPr>
          <w:rFonts w:asciiTheme="minorHAnsi" w:hAnsiTheme="minorHAnsi" w:cstheme="minorBidi"/>
          <w:b/>
          <w:i/>
          <w:sz w:val="22"/>
          <w:szCs w:val="22"/>
        </w:rPr>
      </w:pPr>
      <w:r w:rsidRPr="00520C7C">
        <w:rPr>
          <w:shd w:val="clear" w:color="auto" w:fill="FFFFFF"/>
          <w:vertAlign w:val="superscript"/>
        </w:rPr>
        <w:t>1</w:t>
      </w:r>
      <w:r w:rsidRPr="00520C7C">
        <w:t>Department of Sport and Exercise Sciences</w:t>
      </w:r>
      <w:r w:rsidR="001E5C46" w:rsidRPr="00520C7C">
        <w:t>, D</w:t>
      </w:r>
      <w:r w:rsidR="00AD2885" w:rsidRPr="00520C7C">
        <w:t>urham University, Durham</w:t>
      </w:r>
      <w:r w:rsidR="001E5C46" w:rsidRPr="00520C7C">
        <w:t xml:space="preserve">, </w:t>
      </w:r>
      <w:r w:rsidR="00D83B61" w:rsidRPr="00520C7C">
        <w:t xml:space="preserve">DH1 3HN, </w:t>
      </w:r>
      <w:r w:rsidR="001E5C46" w:rsidRPr="00520C7C">
        <w:t>UK</w:t>
      </w:r>
      <w:r w:rsidR="00D83B61" w:rsidRPr="00520C7C">
        <w:t>*</w:t>
      </w:r>
      <w:r w:rsidR="001E5C46" w:rsidRPr="00520C7C">
        <w:t>.</w:t>
      </w:r>
      <w:r w:rsidR="00D83B61" w:rsidRPr="00520C7C">
        <w:t xml:space="preserve"> Email: </w:t>
      </w:r>
      <w:hyperlink r:id="rId8" w:history="1">
        <w:r w:rsidR="00D83B61" w:rsidRPr="00520C7C">
          <w:rPr>
            <w:rStyle w:val="Hyperlink"/>
            <w:rFonts w:eastAsia="Times New Roman"/>
            <w:color w:val="auto"/>
          </w:rPr>
          <w:t>caroline.dodd-reynolds@durham.ac.uk</w:t>
        </w:r>
      </w:hyperlink>
      <w:r w:rsidR="00D83B61" w:rsidRPr="00520C7C">
        <w:rPr>
          <w:rFonts w:eastAsia="Times New Roman"/>
        </w:rPr>
        <w:t xml:space="preserve">  Tel: +44(0)191 3342000</w:t>
      </w:r>
    </w:p>
    <w:p w14:paraId="0EFA84D0" w14:textId="1FED49B0" w:rsidR="005377A6" w:rsidRPr="00520C7C" w:rsidRDefault="001E5C46" w:rsidP="00701C78">
      <w:pPr>
        <w:spacing w:line="480" w:lineRule="auto"/>
      </w:pPr>
      <w:r w:rsidRPr="00520C7C">
        <w:rPr>
          <w:vertAlign w:val="superscript"/>
        </w:rPr>
        <w:t>2</w:t>
      </w:r>
      <w:r w:rsidR="005377A6" w:rsidRPr="00520C7C">
        <w:t xml:space="preserve">Wolfson Research Institute for Health and Wellbeing Physical Activity Special Interest Group, </w:t>
      </w:r>
      <w:r w:rsidRPr="00520C7C">
        <w:t>D</w:t>
      </w:r>
      <w:r w:rsidR="00AD2885" w:rsidRPr="00520C7C">
        <w:t>urham University, Durham</w:t>
      </w:r>
      <w:r w:rsidRPr="00520C7C">
        <w:t>, UK.</w:t>
      </w:r>
    </w:p>
    <w:p w14:paraId="280B8E41" w14:textId="16B5ADC3" w:rsidR="00DB069A" w:rsidRPr="00520C7C" w:rsidRDefault="00DB069A" w:rsidP="00701C78">
      <w:pPr>
        <w:spacing w:line="480" w:lineRule="auto"/>
        <w:rPr>
          <w:rFonts w:eastAsia="Times New Roman"/>
        </w:rPr>
      </w:pPr>
      <w:r w:rsidRPr="00520C7C">
        <w:rPr>
          <w:shd w:val="clear" w:color="auto" w:fill="FFFFFF"/>
          <w:vertAlign w:val="superscript"/>
        </w:rPr>
        <w:t>3</w:t>
      </w:r>
      <w:r w:rsidRPr="00520C7C">
        <w:rPr>
          <w:shd w:val="clear" w:color="auto" w:fill="FFFFFF"/>
        </w:rPr>
        <w:t>Northumbria Hea</w:t>
      </w:r>
      <w:r w:rsidR="00C7770A" w:rsidRPr="00520C7C">
        <w:rPr>
          <w:shd w:val="clear" w:color="auto" w:fill="FFFFFF"/>
        </w:rPr>
        <w:t>l</w:t>
      </w:r>
      <w:r w:rsidRPr="00520C7C">
        <w:rPr>
          <w:shd w:val="clear" w:color="auto" w:fill="FFFFFF"/>
        </w:rPr>
        <w:t>thcare NHS Foundation Trust</w:t>
      </w:r>
      <w:r w:rsidR="00B74999" w:rsidRPr="00520C7C">
        <w:rPr>
          <w:shd w:val="clear" w:color="auto" w:fill="FFFFFF"/>
        </w:rPr>
        <w:t>, Northumberland, UK.</w:t>
      </w:r>
    </w:p>
    <w:p w14:paraId="6E824BF1" w14:textId="13376C53" w:rsidR="00331219" w:rsidRPr="00520C7C" w:rsidRDefault="00331219" w:rsidP="00701C78">
      <w:pPr>
        <w:spacing w:line="480" w:lineRule="auto"/>
        <w:rPr>
          <w:rFonts w:eastAsia="Times New Roman"/>
        </w:rPr>
      </w:pPr>
      <w:r w:rsidRPr="00520C7C">
        <w:rPr>
          <w:shd w:val="clear" w:color="auto" w:fill="FFFFFF"/>
          <w:vertAlign w:val="superscript"/>
        </w:rPr>
        <w:t>4</w:t>
      </w:r>
      <w:r w:rsidRPr="00520C7C">
        <w:rPr>
          <w:shd w:val="clear" w:color="auto" w:fill="FFFFFF"/>
        </w:rPr>
        <w:t>Department of Nursing, Midwifery and Health, Northumbria Universit</w:t>
      </w:r>
      <w:r w:rsidR="00AD2885" w:rsidRPr="00520C7C">
        <w:rPr>
          <w:shd w:val="clear" w:color="auto" w:fill="FFFFFF"/>
        </w:rPr>
        <w:t>y, Newcastle upon Tyne,</w:t>
      </w:r>
      <w:r w:rsidRPr="00520C7C">
        <w:rPr>
          <w:shd w:val="clear" w:color="auto" w:fill="FFFFFF"/>
        </w:rPr>
        <w:t xml:space="preserve"> UK</w:t>
      </w:r>
    </w:p>
    <w:p w14:paraId="78DC8257" w14:textId="17812197" w:rsidR="00E56B55" w:rsidRPr="00520C7C" w:rsidRDefault="00E56B55" w:rsidP="00701C78">
      <w:pPr>
        <w:spacing w:line="480" w:lineRule="auto"/>
      </w:pPr>
      <w:r w:rsidRPr="00520C7C">
        <w:rPr>
          <w:vertAlign w:val="superscript"/>
        </w:rPr>
        <w:t>5</w:t>
      </w:r>
      <w:r w:rsidRPr="00520C7C">
        <w:t xml:space="preserve">Department of Science, School of Science, Engineering and Design, Teesside University, </w:t>
      </w:r>
      <w:r w:rsidR="00AD2885" w:rsidRPr="00520C7C">
        <w:t>Tee</w:t>
      </w:r>
      <w:r w:rsidR="00C7770A" w:rsidRPr="00520C7C">
        <w:t>s</w:t>
      </w:r>
      <w:r w:rsidR="00AD2885" w:rsidRPr="00520C7C">
        <w:t xml:space="preserve">side, </w:t>
      </w:r>
      <w:r w:rsidRPr="00520C7C">
        <w:t>UK</w:t>
      </w:r>
    </w:p>
    <w:p w14:paraId="6A831E3E" w14:textId="799D5740" w:rsidR="00E56B55" w:rsidRPr="00520C7C" w:rsidRDefault="00E56B55" w:rsidP="00701C78">
      <w:pPr>
        <w:spacing w:line="480" w:lineRule="auto"/>
      </w:pPr>
      <w:r w:rsidRPr="00520C7C">
        <w:rPr>
          <w:vertAlign w:val="superscript"/>
        </w:rPr>
        <w:t>6</w:t>
      </w:r>
      <w:r w:rsidRPr="00520C7C">
        <w:t>Fuse – UKCRC Centre for Translational Research in Public Health, UK</w:t>
      </w:r>
    </w:p>
    <w:p w14:paraId="3BC5CFE4" w14:textId="4C33C658" w:rsidR="005377A6" w:rsidRPr="00520C7C" w:rsidRDefault="00E56B55" w:rsidP="00701C78">
      <w:pPr>
        <w:spacing w:line="480" w:lineRule="auto"/>
        <w:rPr>
          <w:shd w:val="clear" w:color="auto" w:fill="FFFFFF"/>
        </w:rPr>
      </w:pPr>
      <w:r w:rsidRPr="00520C7C">
        <w:rPr>
          <w:shd w:val="clear" w:color="auto" w:fill="FFFFFF"/>
          <w:vertAlign w:val="superscript"/>
        </w:rPr>
        <w:t>7</w:t>
      </w:r>
      <w:r w:rsidR="00290DA2" w:rsidRPr="00520C7C">
        <w:rPr>
          <w:shd w:val="clear" w:color="auto" w:fill="FFFFFF"/>
        </w:rPr>
        <w:t>School of Health and Social Care, Edinburgh Napier</w:t>
      </w:r>
      <w:r w:rsidR="00AD2885" w:rsidRPr="00520C7C">
        <w:rPr>
          <w:shd w:val="clear" w:color="auto" w:fill="FFFFFF"/>
        </w:rPr>
        <w:t xml:space="preserve"> University, Edinburgh, UK</w:t>
      </w:r>
    </w:p>
    <w:p w14:paraId="5692FCF2" w14:textId="77777777" w:rsidR="003B725D" w:rsidRPr="00520C7C" w:rsidRDefault="003B725D" w:rsidP="00701C78">
      <w:pPr>
        <w:spacing w:line="480" w:lineRule="auto"/>
        <w:rPr>
          <w:rFonts w:ascii="Helvetica" w:hAnsi="Helvetica" w:cs="Helvetica"/>
        </w:rPr>
      </w:pPr>
    </w:p>
    <w:p w14:paraId="2212DB26" w14:textId="543CDBC8" w:rsidR="00D133BB" w:rsidRPr="00520C7C" w:rsidRDefault="00D133BB" w:rsidP="00701C78">
      <w:pPr>
        <w:spacing w:line="480" w:lineRule="auto"/>
      </w:pPr>
      <w:r w:rsidRPr="00520C7C">
        <w:rPr>
          <w:b/>
        </w:rPr>
        <w:t>Word count</w:t>
      </w:r>
      <w:r w:rsidR="002F65C3" w:rsidRPr="00520C7C">
        <w:rPr>
          <w:b/>
        </w:rPr>
        <w:t>:</w:t>
      </w:r>
      <w:r w:rsidRPr="00520C7C">
        <w:t xml:space="preserve"> </w:t>
      </w:r>
      <w:r w:rsidR="002D1083">
        <w:t>4214</w:t>
      </w:r>
    </w:p>
    <w:p w14:paraId="7ECEE0F4" w14:textId="77777777" w:rsidR="003B725D" w:rsidRPr="00520C7C" w:rsidRDefault="003B725D" w:rsidP="003B725D">
      <w:pPr>
        <w:rPr>
          <w:rFonts w:eastAsia="MS PGothic"/>
          <w:b/>
        </w:rPr>
      </w:pPr>
    </w:p>
    <w:p w14:paraId="1A47B666" w14:textId="3102F4D2" w:rsidR="003B725D" w:rsidRPr="00520C7C" w:rsidRDefault="003B725D" w:rsidP="002F65C3">
      <w:pPr>
        <w:spacing w:line="480" w:lineRule="auto"/>
      </w:pPr>
      <w:r w:rsidRPr="00520C7C">
        <w:rPr>
          <w:rFonts w:eastAsia="MS PGothic"/>
          <w:b/>
        </w:rPr>
        <w:t xml:space="preserve">Keywords: </w:t>
      </w:r>
      <w:r w:rsidRPr="00520C7C">
        <w:rPr>
          <w:rFonts w:eastAsia="MS PGothic"/>
        </w:rPr>
        <w:t xml:space="preserve">Public health evaluation, </w:t>
      </w:r>
      <w:proofErr w:type="spellStart"/>
      <w:r w:rsidRPr="00520C7C">
        <w:rPr>
          <w:rFonts w:eastAsia="MS PGothic"/>
        </w:rPr>
        <w:t>protoyping</w:t>
      </w:r>
      <w:proofErr w:type="spellEnd"/>
      <w:r w:rsidRPr="00520C7C">
        <w:rPr>
          <w:rFonts w:eastAsia="MS PGothic"/>
        </w:rPr>
        <w:t>, implementation, community weight management, diet, exercise referral</w:t>
      </w:r>
    </w:p>
    <w:p w14:paraId="5FDE4251" w14:textId="2E3C7A5F" w:rsidR="005377A6" w:rsidRPr="00520C7C" w:rsidRDefault="005377A6" w:rsidP="00701C78">
      <w:pPr>
        <w:spacing w:line="480" w:lineRule="auto"/>
        <w:rPr>
          <w:rFonts w:eastAsia="Times New Roman"/>
        </w:rPr>
      </w:pPr>
    </w:p>
    <w:p w14:paraId="325EA70C" w14:textId="12BD1099" w:rsidR="003B725D" w:rsidRPr="00520C7C" w:rsidRDefault="003B725D" w:rsidP="00530D93">
      <w:pPr>
        <w:spacing w:after="200" w:line="480" w:lineRule="auto"/>
        <w:jc w:val="both"/>
        <w:rPr>
          <w:b/>
        </w:rPr>
      </w:pPr>
    </w:p>
    <w:p w14:paraId="3D347DA5" w14:textId="77777777" w:rsidR="00231504" w:rsidRPr="00520C7C" w:rsidRDefault="00231504" w:rsidP="00530D93">
      <w:pPr>
        <w:spacing w:after="200" w:line="480" w:lineRule="auto"/>
        <w:jc w:val="both"/>
        <w:rPr>
          <w:b/>
        </w:rPr>
      </w:pPr>
    </w:p>
    <w:p w14:paraId="5696CD3A" w14:textId="2066FA81" w:rsidR="00563DFF" w:rsidRPr="00520C7C" w:rsidRDefault="00803C83" w:rsidP="00530D93">
      <w:pPr>
        <w:spacing w:after="200" w:line="480" w:lineRule="auto"/>
        <w:jc w:val="both"/>
        <w:rPr>
          <w:b/>
        </w:rPr>
      </w:pPr>
      <w:r w:rsidRPr="00520C7C">
        <w:rPr>
          <w:b/>
        </w:rPr>
        <w:lastRenderedPageBreak/>
        <w:t>A</w:t>
      </w:r>
      <w:r w:rsidR="00A5629B" w:rsidRPr="00520C7C">
        <w:rPr>
          <w:b/>
        </w:rPr>
        <w:t>BSTRACT</w:t>
      </w:r>
    </w:p>
    <w:p w14:paraId="1536DA49" w14:textId="77777777" w:rsidR="00755D63" w:rsidRPr="00755D63" w:rsidRDefault="00755D63" w:rsidP="00755D63">
      <w:pPr>
        <w:spacing w:after="200" w:line="480" w:lineRule="auto"/>
      </w:pPr>
      <w:r w:rsidRPr="00755D63">
        <w:rPr>
          <w:b/>
        </w:rPr>
        <w:t>Objectives</w:t>
      </w:r>
      <w:r w:rsidRPr="00755D63">
        <w:t xml:space="preserve"> Stakeholder co-production in design of public health programmes may reduce the ‘implementation gap’ but can be time-consuming and costly. Prototyping, iterative refining relevant to delivery context, offers a potential solution. This evaluation explored implementation and lessons learned for a 12-week referral-based weight-management programme, ‘Momenta’, along with feasibility of an iterative prototyping evaluation framework.</w:t>
      </w:r>
    </w:p>
    <w:p w14:paraId="7460D2D8" w14:textId="77777777" w:rsidR="00755D63" w:rsidRPr="00755D63" w:rsidRDefault="00755D63" w:rsidP="00755D63">
      <w:pPr>
        <w:spacing w:after="100" w:afterAutospacing="1" w:line="480" w:lineRule="auto"/>
      </w:pPr>
      <w:r w:rsidRPr="00755D63">
        <w:rPr>
          <w:b/>
        </w:rPr>
        <w:t xml:space="preserve">Design </w:t>
      </w:r>
      <w:r w:rsidRPr="00755D63">
        <w:t>Mixed methods evaluation: qualitative implementation exploration with referrers and service users</w:t>
      </w:r>
      <w:proofErr w:type="gramStart"/>
      <w:r w:rsidRPr="00755D63">
        <w:t>;</w:t>
      </w:r>
      <w:proofErr w:type="gramEnd"/>
      <w:r w:rsidRPr="00755D63">
        <w:t xml:space="preserve"> preliminary analysis of anonymised quantitative service data (12 and 52 weeks).</w:t>
      </w:r>
    </w:p>
    <w:p w14:paraId="4185AEBE" w14:textId="77777777" w:rsidR="00755D63" w:rsidRPr="00755D63" w:rsidRDefault="00755D63" w:rsidP="00755D63">
      <w:pPr>
        <w:spacing w:after="100" w:afterAutospacing="1" w:line="480" w:lineRule="auto"/>
      </w:pPr>
      <w:r w:rsidRPr="00755D63">
        <w:rPr>
          <w:b/>
        </w:rPr>
        <w:t>Setting</w:t>
      </w:r>
      <w:r w:rsidRPr="00755D63">
        <w:t xml:space="preserve"> </w:t>
      </w:r>
      <w:proofErr w:type="gramStart"/>
      <w:r w:rsidRPr="00755D63">
        <w:t>Two</w:t>
      </w:r>
      <w:proofErr w:type="gramEnd"/>
      <w:r w:rsidRPr="00755D63">
        <w:t xml:space="preserve"> leisure centres in Northumberland, northeast England.</w:t>
      </w:r>
    </w:p>
    <w:p w14:paraId="408D75AE" w14:textId="77777777" w:rsidR="00755D63" w:rsidRPr="00755D63" w:rsidRDefault="00755D63" w:rsidP="00755D63">
      <w:pPr>
        <w:spacing w:after="100" w:afterAutospacing="1" w:line="480" w:lineRule="auto"/>
      </w:pPr>
      <w:r w:rsidRPr="00755D63">
        <w:rPr>
          <w:b/>
        </w:rPr>
        <w:t>Participants</w:t>
      </w:r>
      <w:r w:rsidRPr="00755D63">
        <w:t xml:space="preserve"> Individual interviews with referring professionals (n=5) and focus groups with service users (n=13). Individuals (n=182) referred by healthcare professionals (quantitative data).</w:t>
      </w:r>
    </w:p>
    <w:p w14:paraId="0DE87911" w14:textId="77777777" w:rsidR="00755D63" w:rsidRPr="00755D63" w:rsidRDefault="00755D63" w:rsidP="00755D63">
      <w:pPr>
        <w:spacing w:after="100" w:afterAutospacing="1" w:line="480" w:lineRule="auto"/>
      </w:pPr>
      <w:r w:rsidRPr="00755D63">
        <w:rPr>
          <w:b/>
        </w:rPr>
        <w:t>Interventions</w:t>
      </w:r>
      <w:r w:rsidRPr="00755D63">
        <w:t xml:space="preserve"> Three 12-week programme iterations: Momenta (n=59), Momenta-Fitness membership (Momenta-Fitness (n=58), and </w:t>
      </w:r>
      <w:r w:rsidRPr="00755D63">
        <w:rPr>
          <w:rFonts w:eastAsia="Times New Roman"/>
        </w:rPr>
        <w:t>Fitness membership only (n=65)</w:t>
      </w:r>
      <w:r w:rsidRPr="00755D63">
        <w:t>.</w:t>
      </w:r>
    </w:p>
    <w:p w14:paraId="2A794763" w14:textId="77777777" w:rsidR="00755D63" w:rsidRPr="00755D63" w:rsidRDefault="00755D63" w:rsidP="00755D63">
      <w:pPr>
        <w:spacing w:after="100" w:afterAutospacing="1" w:line="480" w:lineRule="auto"/>
        <w:rPr>
          <w:rFonts w:eastAsia="Times New Roman"/>
        </w:rPr>
      </w:pPr>
      <w:r w:rsidRPr="00755D63">
        <w:rPr>
          <w:b/>
        </w:rPr>
        <w:t>Primary and secondary outcome measures</w:t>
      </w:r>
      <w:r w:rsidRPr="00755D63">
        <w:t xml:space="preserve"> Primary outcome: Qualitative themes developed through stakeholder-engagement. Secondary outcomes included preliminary exploration of recruitment, uptake, retention, and changes in weight, BMI waist circumference and psychological wellbeing. </w:t>
      </w:r>
    </w:p>
    <w:p w14:paraId="09B45C03" w14:textId="77777777" w:rsidR="00755D63" w:rsidRPr="00755D63" w:rsidRDefault="00755D63" w:rsidP="00755D63">
      <w:pPr>
        <w:spacing w:line="480" w:lineRule="auto"/>
      </w:pPr>
      <w:r w:rsidRPr="00755D63">
        <w:rPr>
          <w:b/>
        </w:rPr>
        <w:t>Results</w:t>
      </w:r>
      <w:r w:rsidRPr="00755D63">
        <w:t xml:space="preserve"> Service users reported positive experiences of Momenta. Implementation gaps </w:t>
      </w:r>
      <w:proofErr w:type="gramStart"/>
      <w:r w:rsidRPr="00755D63">
        <w:t>were revealed</w:t>
      </w:r>
      <w:proofErr w:type="gramEnd"/>
      <w:r w:rsidRPr="00755D63">
        <w:t xml:space="preserve"> around the referral process and practitioner knowledge. Prototyping enabled </w:t>
      </w:r>
      <w:r w:rsidRPr="00755D63">
        <w:lastRenderedPageBreak/>
        <w:t>iterative refinements such as broadening inclusion criteria. Uptake and 12-week retention were higher for Momenta (84.7%, 45.8%) and Momenta-Fitness (93.1%, 60.3%) versus Fitness-only (75.4%, 24.6%). Exploration of other preliminary outcomes (completers only) suggested potential for within-group weight loss and increased psychological wellbeing for Momenta and Momenta-Fitness at 12 weeks. 52-week follow-up data were limited (32%, 33%, and 6% retention for those who started Momenta, Momenta-Fitness and Fitness respectively) but suggested potential weight loss maintenance in Momenta-Fitness.</w:t>
      </w:r>
    </w:p>
    <w:p w14:paraId="673A97A9" w14:textId="77777777" w:rsidR="00755D63" w:rsidRPr="00755D63" w:rsidRDefault="00755D63" w:rsidP="00755D63">
      <w:pPr>
        <w:spacing w:line="480" w:lineRule="auto"/>
      </w:pPr>
    </w:p>
    <w:p w14:paraId="4DD90D8E" w14:textId="77777777" w:rsidR="00755D63" w:rsidRPr="00755D63" w:rsidRDefault="00755D63" w:rsidP="00755D63">
      <w:pPr>
        <w:spacing w:after="160" w:line="480" w:lineRule="auto"/>
        <w:rPr>
          <w:lang w:val="en-US"/>
        </w:rPr>
      </w:pPr>
      <w:r w:rsidRPr="00755D63">
        <w:rPr>
          <w:b/>
          <w:lang w:val="en-US"/>
        </w:rPr>
        <w:t>Conclusions</w:t>
      </w:r>
      <w:r w:rsidRPr="00755D63">
        <w:rPr>
          <w:lang w:val="en-US"/>
        </w:rPr>
        <w:t xml:space="preserve"> Identification of issues within the referral process enabled real-time iterative refinement, whilst lessons learned may be of value for local implementation of ‘off-the-shelf’ weight management packages more generally. Our preliminary data for completers suggest Momenta may have potential for weight loss, particularly when offered with a fitness membership.</w:t>
      </w:r>
    </w:p>
    <w:p w14:paraId="7697214E" w14:textId="1750CF85" w:rsidR="00C6689D" w:rsidRPr="00520C7C" w:rsidRDefault="00C6689D" w:rsidP="00530D93">
      <w:pPr>
        <w:spacing w:after="200" w:line="480" w:lineRule="auto"/>
        <w:rPr>
          <w:rFonts w:eastAsia="MS PGothic"/>
          <w:b/>
        </w:rPr>
      </w:pPr>
    </w:p>
    <w:p w14:paraId="1235EE0C" w14:textId="706CC274" w:rsidR="00500810" w:rsidRPr="00520C7C" w:rsidRDefault="00500810" w:rsidP="00530D93">
      <w:pPr>
        <w:spacing w:after="200" w:line="480" w:lineRule="auto"/>
        <w:rPr>
          <w:rFonts w:eastAsia="MS PGothic"/>
          <w:b/>
        </w:rPr>
      </w:pPr>
    </w:p>
    <w:p w14:paraId="176CE124" w14:textId="69FAFCBB" w:rsidR="002F65C3" w:rsidRPr="00520C7C" w:rsidRDefault="002F65C3" w:rsidP="00530D93">
      <w:pPr>
        <w:spacing w:after="200" w:line="480" w:lineRule="auto"/>
        <w:rPr>
          <w:rFonts w:eastAsia="MS PGothic"/>
          <w:b/>
        </w:rPr>
      </w:pPr>
    </w:p>
    <w:p w14:paraId="5CBE8B17" w14:textId="4671C321" w:rsidR="002F65C3" w:rsidRPr="00520C7C" w:rsidRDefault="002F65C3" w:rsidP="00530D93">
      <w:pPr>
        <w:spacing w:after="200" w:line="480" w:lineRule="auto"/>
        <w:rPr>
          <w:rFonts w:eastAsia="MS PGothic"/>
          <w:b/>
        </w:rPr>
      </w:pPr>
    </w:p>
    <w:p w14:paraId="1557A0FF" w14:textId="1CE95A45" w:rsidR="002F65C3" w:rsidRPr="00520C7C" w:rsidRDefault="002F65C3" w:rsidP="00530D93">
      <w:pPr>
        <w:spacing w:after="200" w:line="480" w:lineRule="auto"/>
        <w:rPr>
          <w:rFonts w:eastAsia="MS PGothic"/>
          <w:b/>
        </w:rPr>
      </w:pPr>
    </w:p>
    <w:p w14:paraId="3F38C010" w14:textId="791F63DE" w:rsidR="002F65C3" w:rsidRPr="00520C7C" w:rsidRDefault="002F65C3" w:rsidP="00530D93">
      <w:pPr>
        <w:spacing w:after="200" w:line="480" w:lineRule="auto"/>
        <w:rPr>
          <w:rFonts w:eastAsia="MS PGothic"/>
          <w:b/>
        </w:rPr>
      </w:pPr>
    </w:p>
    <w:p w14:paraId="4447431E" w14:textId="6A4F8580" w:rsidR="002F65C3" w:rsidRPr="00520C7C" w:rsidRDefault="002F65C3" w:rsidP="00530D93">
      <w:pPr>
        <w:spacing w:after="200" w:line="480" w:lineRule="auto"/>
        <w:rPr>
          <w:rFonts w:eastAsia="MS PGothic"/>
          <w:b/>
        </w:rPr>
      </w:pPr>
    </w:p>
    <w:p w14:paraId="07C15D2A" w14:textId="2A6D3D52" w:rsidR="002F65C3" w:rsidRPr="00520C7C" w:rsidRDefault="002F65C3" w:rsidP="00530D93">
      <w:pPr>
        <w:spacing w:after="200" w:line="480" w:lineRule="auto"/>
        <w:rPr>
          <w:rFonts w:eastAsia="MS PGothic"/>
          <w:b/>
        </w:rPr>
      </w:pPr>
    </w:p>
    <w:p w14:paraId="3BD63C98" w14:textId="5E022827" w:rsidR="002F65C3" w:rsidRPr="00520C7C" w:rsidRDefault="002F65C3" w:rsidP="00530D93">
      <w:pPr>
        <w:spacing w:after="200" w:line="480" w:lineRule="auto"/>
        <w:rPr>
          <w:rFonts w:eastAsia="MS PGothic"/>
          <w:b/>
        </w:rPr>
      </w:pPr>
    </w:p>
    <w:p w14:paraId="13CB45C6" w14:textId="7905BCF6" w:rsidR="002F65C3" w:rsidRPr="00520C7C" w:rsidRDefault="002F65C3" w:rsidP="00530D93">
      <w:pPr>
        <w:spacing w:after="200" w:line="480" w:lineRule="auto"/>
        <w:rPr>
          <w:rFonts w:eastAsia="MS PGothic"/>
          <w:b/>
        </w:rPr>
      </w:pPr>
    </w:p>
    <w:p w14:paraId="20048833" w14:textId="77777777" w:rsidR="00500810" w:rsidRPr="00520C7C" w:rsidRDefault="00500810" w:rsidP="00530D93">
      <w:pPr>
        <w:spacing w:after="200" w:line="480" w:lineRule="auto"/>
        <w:rPr>
          <w:rFonts w:eastAsia="MS PGothic"/>
          <w:b/>
        </w:rPr>
      </w:pPr>
    </w:p>
    <w:p w14:paraId="412E476C" w14:textId="4CEA2506" w:rsidR="000201F8" w:rsidRPr="00520C7C" w:rsidRDefault="000201F8" w:rsidP="00530D93">
      <w:pPr>
        <w:spacing w:after="200" w:line="480" w:lineRule="auto"/>
        <w:rPr>
          <w:b/>
          <w:bCs/>
        </w:rPr>
      </w:pPr>
      <w:r w:rsidRPr="00520C7C">
        <w:rPr>
          <w:b/>
          <w:bCs/>
        </w:rPr>
        <w:t>ARTICLE SUMMARY</w:t>
      </w:r>
    </w:p>
    <w:p w14:paraId="4D9B4673" w14:textId="77777777" w:rsidR="000201F8" w:rsidRPr="00520C7C" w:rsidRDefault="000201F8" w:rsidP="00530D93">
      <w:pPr>
        <w:spacing w:after="200" w:line="480" w:lineRule="auto"/>
        <w:rPr>
          <w:b/>
          <w:bCs/>
        </w:rPr>
      </w:pPr>
    </w:p>
    <w:p w14:paraId="26E1F8E1" w14:textId="1AADEB56" w:rsidR="00882E87" w:rsidRPr="00520C7C" w:rsidRDefault="000201F8" w:rsidP="00530D93">
      <w:pPr>
        <w:spacing w:after="200" w:line="480" w:lineRule="auto"/>
        <w:rPr>
          <w:b/>
          <w:bCs/>
        </w:rPr>
      </w:pPr>
      <w:r w:rsidRPr="00520C7C">
        <w:rPr>
          <w:b/>
          <w:bCs/>
        </w:rPr>
        <w:t>Strengths and limitations of this study</w:t>
      </w:r>
    </w:p>
    <w:p w14:paraId="1D2A0694" w14:textId="77777777" w:rsidR="000201F8" w:rsidRPr="00520C7C" w:rsidRDefault="000201F8" w:rsidP="00530D93">
      <w:pPr>
        <w:spacing w:after="200" w:line="480" w:lineRule="auto"/>
        <w:rPr>
          <w:b/>
          <w:bCs/>
        </w:rPr>
      </w:pPr>
    </w:p>
    <w:p w14:paraId="0EF554A3" w14:textId="71CB87A9" w:rsidR="00882E87" w:rsidRPr="00520C7C" w:rsidRDefault="00E801B2" w:rsidP="00882E87">
      <w:pPr>
        <w:pStyle w:val="ListParagraph"/>
        <w:numPr>
          <w:ilvl w:val="0"/>
          <w:numId w:val="18"/>
        </w:numPr>
        <w:spacing w:after="200" w:line="480" w:lineRule="auto"/>
        <w:rPr>
          <w:rFonts w:eastAsia="MS PGothic"/>
        </w:rPr>
      </w:pPr>
      <w:r w:rsidRPr="00520C7C">
        <w:rPr>
          <w:rFonts w:eastAsia="MS PGothic"/>
        </w:rPr>
        <w:t xml:space="preserve">This study advances understanding about whether prototyping is a </w:t>
      </w:r>
      <w:r w:rsidR="00305CD4" w:rsidRPr="00520C7C">
        <w:rPr>
          <w:rFonts w:eastAsia="MS PGothic"/>
        </w:rPr>
        <w:t xml:space="preserve">time-efficient and </w:t>
      </w:r>
      <w:r w:rsidRPr="00520C7C">
        <w:rPr>
          <w:rFonts w:eastAsia="MS PGothic"/>
        </w:rPr>
        <w:t>cost-effective approach to design and implementation of public health programmes.</w:t>
      </w:r>
      <w:r w:rsidR="002F65C3" w:rsidRPr="00520C7C">
        <w:rPr>
          <w:rFonts w:eastAsia="MS PGothic"/>
        </w:rPr>
        <w:br/>
      </w:r>
    </w:p>
    <w:p w14:paraId="7179ED19" w14:textId="40840EFD" w:rsidR="00882E87" w:rsidRPr="00520C7C" w:rsidRDefault="00E801B2" w:rsidP="00882E87">
      <w:pPr>
        <w:pStyle w:val="ListParagraph"/>
        <w:numPr>
          <w:ilvl w:val="0"/>
          <w:numId w:val="18"/>
        </w:numPr>
        <w:spacing w:after="200" w:line="480" w:lineRule="auto"/>
        <w:rPr>
          <w:rFonts w:eastAsia="MS PGothic"/>
        </w:rPr>
      </w:pPr>
      <w:r w:rsidRPr="00520C7C">
        <w:rPr>
          <w:rFonts w:eastAsia="MS PGothic"/>
        </w:rPr>
        <w:t xml:space="preserve">This </w:t>
      </w:r>
      <w:r w:rsidR="00C7770A" w:rsidRPr="00520C7C">
        <w:rPr>
          <w:rFonts w:eastAsia="MS PGothic"/>
        </w:rPr>
        <w:t>m</w:t>
      </w:r>
      <w:r w:rsidR="008321E9" w:rsidRPr="00520C7C">
        <w:rPr>
          <w:rFonts w:eastAsia="MS PGothic"/>
        </w:rPr>
        <w:t>ixed methods</w:t>
      </w:r>
      <w:r w:rsidR="00C7770A" w:rsidRPr="00520C7C">
        <w:rPr>
          <w:rFonts w:eastAsia="MS PGothic"/>
        </w:rPr>
        <w:t xml:space="preserve"> evaluation</w:t>
      </w:r>
      <w:r w:rsidR="008321E9" w:rsidRPr="00520C7C">
        <w:rPr>
          <w:rFonts w:eastAsia="MS PGothic"/>
        </w:rPr>
        <w:t xml:space="preserve"> </w:t>
      </w:r>
      <w:r w:rsidRPr="00520C7C">
        <w:rPr>
          <w:rFonts w:eastAsia="MS PGothic"/>
        </w:rPr>
        <w:t xml:space="preserve">provides insight into the </w:t>
      </w:r>
      <w:r w:rsidR="00C7770A" w:rsidRPr="00520C7C">
        <w:rPr>
          <w:rFonts w:eastAsia="MS PGothic"/>
        </w:rPr>
        <w:t xml:space="preserve">implementation </w:t>
      </w:r>
      <w:r w:rsidR="005F1B1E" w:rsidRPr="00520C7C">
        <w:rPr>
          <w:rFonts w:eastAsia="MS PGothic"/>
        </w:rPr>
        <w:t xml:space="preserve">of </w:t>
      </w:r>
      <w:r w:rsidR="008321E9" w:rsidRPr="00520C7C">
        <w:rPr>
          <w:rFonts w:eastAsia="MS PGothic"/>
        </w:rPr>
        <w:t>an ‘off-the-shelf’ weight management programme</w:t>
      </w:r>
      <w:r w:rsidR="00C7770A" w:rsidRPr="00520C7C">
        <w:rPr>
          <w:rFonts w:eastAsia="MS PGothic"/>
        </w:rPr>
        <w:t>,</w:t>
      </w:r>
      <w:r w:rsidR="008321E9" w:rsidRPr="00520C7C">
        <w:rPr>
          <w:rFonts w:eastAsia="MS PGothic"/>
        </w:rPr>
        <w:t xml:space="preserve"> in </w:t>
      </w:r>
      <w:r w:rsidR="00C7770A" w:rsidRPr="00520C7C">
        <w:rPr>
          <w:rFonts w:eastAsia="MS PGothic"/>
        </w:rPr>
        <w:t>a local context</w:t>
      </w:r>
      <w:r w:rsidRPr="00520C7C">
        <w:rPr>
          <w:rFonts w:eastAsia="MS PGothic"/>
        </w:rPr>
        <w:t>.</w:t>
      </w:r>
      <w:r w:rsidR="002F65C3" w:rsidRPr="00520C7C">
        <w:rPr>
          <w:rFonts w:eastAsia="MS PGothic"/>
        </w:rPr>
        <w:br/>
      </w:r>
    </w:p>
    <w:p w14:paraId="1E183DC3" w14:textId="4AB6420C" w:rsidR="008321E9" w:rsidRPr="00520C7C" w:rsidRDefault="00CF3AF5" w:rsidP="00882E87">
      <w:pPr>
        <w:pStyle w:val="ListParagraph"/>
        <w:numPr>
          <w:ilvl w:val="0"/>
          <w:numId w:val="18"/>
        </w:numPr>
        <w:spacing w:after="200" w:line="480" w:lineRule="auto"/>
        <w:rPr>
          <w:rFonts w:eastAsia="MS PGothic"/>
        </w:rPr>
      </w:pPr>
      <w:r w:rsidRPr="00520C7C">
        <w:rPr>
          <w:rFonts w:eastAsia="MS PGothic"/>
        </w:rPr>
        <w:t xml:space="preserve">Embedding </w:t>
      </w:r>
      <w:r w:rsidR="008321E9" w:rsidRPr="00520C7C">
        <w:rPr>
          <w:rFonts w:eastAsia="MS PGothic"/>
        </w:rPr>
        <w:t>stakeholders</w:t>
      </w:r>
      <w:r w:rsidRPr="00520C7C">
        <w:rPr>
          <w:rFonts w:eastAsia="MS PGothic"/>
        </w:rPr>
        <w:t>’ views</w:t>
      </w:r>
      <w:r w:rsidR="008321E9" w:rsidRPr="00520C7C">
        <w:rPr>
          <w:rFonts w:eastAsia="MS PGothic"/>
        </w:rPr>
        <w:t xml:space="preserve"> </w:t>
      </w:r>
      <w:r w:rsidR="00305CD4" w:rsidRPr="00520C7C">
        <w:rPr>
          <w:rFonts w:eastAsia="MS PGothic"/>
        </w:rPr>
        <w:t>throughout</w:t>
      </w:r>
      <w:r w:rsidR="008321E9" w:rsidRPr="00520C7C">
        <w:rPr>
          <w:rFonts w:eastAsia="MS PGothic"/>
        </w:rPr>
        <w:t xml:space="preserve"> the </w:t>
      </w:r>
      <w:r w:rsidRPr="00520C7C">
        <w:rPr>
          <w:rFonts w:eastAsia="MS PGothic"/>
        </w:rPr>
        <w:t xml:space="preserve">entire </w:t>
      </w:r>
      <w:r w:rsidR="008321E9" w:rsidRPr="00520C7C">
        <w:rPr>
          <w:rFonts w:eastAsia="MS PGothic"/>
        </w:rPr>
        <w:t xml:space="preserve">evaluation process </w:t>
      </w:r>
      <w:r w:rsidR="00BE0B5B" w:rsidRPr="00520C7C">
        <w:rPr>
          <w:rFonts w:eastAsia="MS PGothic"/>
        </w:rPr>
        <w:t xml:space="preserve">allowed for </w:t>
      </w:r>
      <w:r w:rsidR="00C7770A" w:rsidRPr="00520C7C">
        <w:rPr>
          <w:rFonts w:eastAsia="MS PGothic"/>
        </w:rPr>
        <w:t xml:space="preserve">ongoing, </w:t>
      </w:r>
      <w:r w:rsidR="00BE0B5B" w:rsidRPr="00520C7C">
        <w:rPr>
          <w:rFonts w:eastAsia="MS PGothic"/>
        </w:rPr>
        <w:t>iterative refinement</w:t>
      </w:r>
      <w:r w:rsidR="00E801B2" w:rsidRPr="00520C7C">
        <w:rPr>
          <w:rFonts w:eastAsia="MS PGothic"/>
        </w:rPr>
        <w:t>.</w:t>
      </w:r>
      <w:r w:rsidR="002F65C3" w:rsidRPr="00520C7C">
        <w:rPr>
          <w:rFonts w:eastAsia="MS PGothic"/>
        </w:rPr>
        <w:br/>
      </w:r>
    </w:p>
    <w:p w14:paraId="1BBA7177" w14:textId="23A9FF85" w:rsidR="008321E9" w:rsidRPr="00011925" w:rsidRDefault="00BE0B5B" w:rsidP="00882E87">
      <w:pPr>
        <w:pStyle w:val="ListParagraph"/>
        <w:numPr>
          <w:ilvl w:val="0"/>
          <w:numId w:val="18"/>
        </w:numPr>
        <w:spacing w:after="200" w:line="480" w:lineRule="auto"/>
        <w:rPr>
          <w:rFonts w:eastAsia="MS PGothic"/>
        </w:rPr>
      </w:pPr>
      <w:r w:rsidRPr="00520C7C">
        <w:rPr>
          <w:rFonts w:eastAsia="MS PGothic"/>
        </w:rPr>
        <w:t>A limitation to the</w:t>
      </w:r>
      <w:r w:rsidR="008321E9" w:rsidRPr="00520C7C">
        <w:rPr>
          <w:rFonts w:eastAsia="MS PGothic"/>
        </w:rPr>
        <w:t xml:space="preserve"> </w:t>
      </w:r>
      <w:r w:rsidR="008321E9" w:rsidRPr="00011925">
        <w:rPr>
          <w:rFonts w:eastAsia="MS PGothic"/>
        </w:rPr>
        <w:t xml:space="preserve">quantitative </w:t>
      </w:r>
      <w:r w:rsidR="00C7770A" w:rsidRPr="00011925">
        <w:rPr>
          <w:rFonts w:eastAsia="MS PGothic"/>
        </w:rPr>
        <w:t>component</w:t>
      </w:r>
      <w:r w:rsidR="008321E9" w:rsidRPr="00011925">
        <w:rPr>
          <w:rFonts w:eastAsia="MS PGothic"/>
        </w:rPr>
        <w:t xml:space="preserve"> </w:t>
      </w:r>
      <w:r w:rsidRPr="00011925">
        <w:rPr>
          <w:rFonts w:eastAsia="MS PGothic"/>
        </w:rPr>
        <w:t>is the</w:t>
      </w:r>
      <w:r w:rsidR="008321E9" w:rsidRPr="00011925">
        <w:rPr>
          <w:rFonts w:eastAsia="MS PGothic"/>
        </w:rPr>
        <w:t xml:space="preserve"> small sample size</w:t>
      </w:r>
      <w:r w:rsidR="00532B54" w:rsidRPr="00011925">
        <w:rPr>
          <w:rFonts w:eastAsia="MS PGothic"/>
        </w:rPr>
        <w:t xml:space="preserve"> and rate of missing data at 1 year</w:t>
      </w:r>
      <w:r w:rsidR="00AB05AA" w:rsidRPr="00011925">
        <w:rPr>
          <w:rFonts w:eastAsia="MS PGothic"/>
        </w:rPr>
        <w:t>;</w:t>
      </w:r>
      <w:r w:rsidR="005037CD" w:rsidRPr="00011925">
        <w:rPr>
          <w:rFonts w:eastAsia="MS PGothic"/>
        </w:rPr>
        <w:t xml:space="preserve"> findings </w:t>
      </w:r>
      <w:proofErr w:type="gramStart"/>
      <w:r w:rsidR="005037CD" w:rsidRPr="00011925">
        <w:rPr>
          <w:rFonts w:eastAsia="MS PGothic"/>
        </w:rPr>
        <w:t xml:space="preserve">should </w:t>
      </w:r>
      <w:r w:rsidR="00AB05AA" w:rsidRPr="00011925">
        <w:rPr>
          <w:rFonts w:eastAsia="MS PGothic"/>
        </w:rPr>
        <w:t xml:space="preserve">thus </w:t>
      </w:r>
      <w:r w:rsidR="005037CD" w:rsidRPr="00011925">
        <w:rPr>
          <w:rFonts w:eastAsia="MS PGothic"/>
        </w:rPr>
        <w:t>be interpreted</w:t>
      </w:r>
      <w:proofErr w:type="gramEnd"/>
      <w:r w:rsidR="005037CD" w:rsidRPr="00011925">
        <w:rPr>
          <w:rFonts w:eastAsia="MS PGothic"/>
        </w:rPr>
        <w:t xml:space="preserve"> with caution</w:t>
      </w:r>
      <w:r w:rsidR="00CF3AF5" w:rsidRPr="00011925">
        <w:rPr>
          <w:rFonts w:eastAsia="MS PGothic"/>
        </w:rPr>
        <w:t>.</w:t>
      </w:r>
      <w:r w:rsidR="002F65C3" w:rsidRPr="00011925">
        <w:rPr>
          <w:rFonts w:eastAsia="MS PGothic"/>
        </w:rPr>
        <w:br/>
      </w:r>
    </w:p>
    <w:p w14:paraId="732175C5" w14:textId="29051DC1" w:rsidR="00CF3AF5" w:rsidRPr="00520C7C" w:rsidRDefault="00E43C4F" w:rsidP="00882E87">
      <w:pPr>
        <w:pStyle w:val="ListParagraph"/>
        <w:numPr>
          <w:ilvl w:val="0"/>
          <w:numId w:val="18"/>
        </w:numPr>
        <w:spacing w:after="200" w:line="480" w:lineRule="auto"/>
        <w:rPr>
          <w:rFonts w:eastAsia="MS PGothic"/>
        </w:rPr>
      </w:pPr>
      <w:r w:rsidRPr="00011925">
        <w:rPr>
          <w:rFonts w:eastAsia="MS PGothic"/>
        </w:rPr>
        <w:t xml:space="preserve">Qualitative interviews and focus groups can only </w:t>
      </w:r>
      <w:r w:rsidRPr="00520C7C">
        <w:rPr>
          <w:rFonts w:eastAsia="MS PGothic"/>
        </w:rPr>
        <w:t>provide information about what participants recall about their experiences, meaning that there is a potential for recall bias.</w:t>
      </w:r>
    </w:p>
    <w:p w14:paraId="2FAB6CB1" w14:textId="51ECA249" w:rsidR="006A7FCC" w:rsidRDefault="006A7FCC" w:rsidP="00EB555B">
      <w:pPr>
        <w:spacing w:line="480" w:lineRule="auto"/>
        <w:rPr>
          <w:rFonts w:eastAsia="MS PGothic"/>
          <w:b/>
        </w:rPr>
      </w:pPr>
    </w:p>
    <w:p w14:paraId="7E1A9AEA" w14:textId="77777777" w:rsidR="005034C9" w:rsidRDefault="005034C9" w:rsidP="00EB555B">
      <w:pPr>
        <w:spacing w:line="480" w:lineRule="auto"/>
        <w:rPr>
          <w:rFonts w:eastAsia="MS PGothic"/>
          <w:b/>
          <w:szCs w:val="36"/>
        </w:rPr>
      </w:pPr>
    </w:p>
    <w:p w14:paraId="6D10B5F3" w14:textId="5D6CBD6A" w:rsidR="000058A7" w:rsidRPr="00520C7C" w:rsidRDefault="00F15E20" w:rsidP="00EB555B">
      <w:pPr>
        <w:spacing w:line="480" w:lineRule="auto"/>
        <w:rPr>
          <w:rFonts w:eastAsia="MS PGothic"/>
          <w:b/>
          <w:szCs w:val="36"/>
        </w:rPr>
      </w:pPr>
      <w:r w:rsidRPr="00520C7C">
        <w:rPr>
          <w:rFonts w:eastAsia="MS PGothic"/>
          <w:b/>
          <w:szCs w:val="36"/>
        </w:rPr>
        <w:t>I</w:t>
      </w:r>
      <w:r w:rsidR="00A5629B" w:rsidRPr="00520C7C">
        <w:rPr>
          <w:rFonts w:eastAsia="MS PGothic"/>
          <w:b/>
          <w:szCs w:val="36"/>
        </w:rPr>
        <w:t>NTRODUCTION</w:t>
      </w:r>
    </w:p>
    <w:p w14:paraId="19A61B4D" w14:textId="77777777" w:rsidR="00E536FF" w:rsidRPr="00520C7C" w:rsidRDefault="00E536FF" w:rsidP="00EB555B">
      <w:pPr>
        <w:spacing w:line="480" w:lineRule="auto"/>
        <w:rPr>
          <w:rFonts w:eastAsia="MS PGothic"/>
          <w:b/>
          <w:szCs w:val="36"/>
        </w:rPr>
      </w:pPr>
    </w:p>
    <w:p w14:paraId="4FE4F506" w14:textId="7E1D7004" w:rsidR="000058A7" w:rsidRPr="00520C7C" w:rsidRDefault="000058A7" w:rsidP="00156760">
      <w:pPr>
        <w:pStyle w:val="xmsonormal"/>
        <w:shd w:val="clear" w:color="auto" w:fill="FFFFFF"/>
        <w:spacing w:before="0" w:beforeAutospacing="0" w:after="0" w:afterAutospacing="0" w:line="480" w:lineRule="auto"/>
      </w:pPr>
      <w:proofErr w:type="gramStart"/>
      <w:r w:rsidRPr="00520C7C">
        <w:t>Failure to implement effective public health interventions when programmes are scaled up or transferred acr</w:t>
      </w:r>
      <w:r w:rsidR="00D338B7" w:rsidRPr="00520C7C">
        <w:t>oss contexts is widely reported</w:t>
      </w:r>
      <w:r w:rsidR="00423636" w:rsidRPr="00520C7C">
        <w:t>.</w:t>
      </w:r>
      <w:r w:rsidR="00423636" w:rsidRPr="00520C7C">
        <w:rPr>
          <w:vertAlign w:val="superscript"/>
        </w:rPr>
        <w:t>1</w:t>
      </w:r>
      <w:r w:rsidR="00802EF5" w:rsidRPr="00520C7C">
        <w:t xml:space="preserve"> </w:t>
      </w:r>
      <w:r w:rsidR="00DD5DDC" w:rsidRPr="00520C7C">
        <w:t>P</w:t>
      </w:r>
      <w:r w:rsidRPr="00520C7C">
        <w:t>roposed approaches attempt</w:t>
      </w:r>
      <w:r w:rsidR="00DD5DDC" w:rsidRPr="00520C7C">
        <w:t>ing</w:t>
      </w:r>
      <w:r w:rsidRPr="00520C7C">
        <w:t xml:space="preserve"> to address this implementation gap </w:t>
      </w:r>
      <w:r w:rsidR="00DD5DDC" w:rsidRPr="00520C7C">
        <w:t>include</w:t>
      </w:r>
      <w:r w:rsidR="00533052" w:rsidRPr="00520C7C">
        <w:t xml:space="preserve">; </w:t>
      </w:r>
      <w:r w:rsidRPr="00520C7C">
        <w:t>effectiveness-implementation hybrid designs</w:t>
      </w:r>
      <w:r w:rsidR="00423636" w:rsidRPr="00520C7C">
        <w:t>,</w:t>
      </w:r>
      <w:r w:rsidR="00423636" w:rsidRPr="00520C7C">
        <w:rPr>
          <w:vertAlign w:val="superscript"/>
        </w:rPr>
        <w:t>2</w:t>
      </w:r>
      <w:r w:rsidR="009B7C8C" w:rsidRPr="00520C7C">
        <w:t xml:space="preserve"> </w:t>
      </w:r>
      <w:r w:rsidR="0065797E" w:rsidRPr="00520C7C">
        <w:t>linking action to theory</w:t>
      </w:r>
      <w:r w:rsidR="00D338B7" w:rsidRPr="00520C7C">
        <w:t xml:space="preserve"> and models based on theory</w:t>
      </w:r>
      <w:r w:rsidR="00423636" w:rsidRPr="00520C7C">
        <w:t>,</w:t>
      </w:r>
      <w:r w:rsidR="00423636" w:rsidRPr="00520C7C">
        <w:rPr>
          <w:vertAlign w:val="superscript"/>
        </w:rPr>
        <w:t>3</w:t>
      </w:r>
      <w:r w:rsidR="009B7C8C" w:rsidRPr="00520C7C">
        <w:t xml:space="preserve"> </w:t>
      </w:r>
      <w:r w:rsidRPr="00520C7C">
        <w:t>and application of the replicating effective programmes framework</w:t>
      </w:r>
      <w:r w:rsidR="00423636" w:rsidRPr="00520C7C">
        <w:t>.</w:t>
      </w:r>
      <w:r w:rsidR="00423636" w:rsidRPr="00520C7C">
        <w:rPr>
          <w:vertAlign w:val="superscript"/>
        </w:rPr>
        <w:t>4</w:t>
      </w:r>
      <w:r w:rsidR="009B7C8C" w:rsidRPr="00520C7C">
        <w:t xml:space="preserve"> </w:t>
      </w:r>
      <w:r w:rsidRPr="00520C7C">
        <w:t xml:space="preserve">Common to </w:t>
      </w:r>
      <w:r w:rsidR="00DD5DDC" w:rsidRPr="00520C7C">
        <w:t xml:space="preserve">all </w:t>
      </w:r>
      <w:r w:rsidRPr="00520C7C">
        <w:t xml:space="preserve">is advocacy of a developmental process </w:t>
      </w:r>
      <w:r w:rsidR="00DD5DDC" w:rsidRPr="00520C7C">
        <w:t>reflecting on existing knowledge about the target popu</w:t>
      </w:r>
      <w:r w:rsidR="0069180A" w:rsidRPr="00520C7C">
        <w:t xml:space="preserve">lation and planned programme </w:t>
      </w:r>
      <w:r w:rsidRPr="00520C7C">
        <w:t xml:space="preserve">prior to </w:t>
      </w:r>
      <w:r w:rsidR="00BD2630" w:rsidRPr="00520C7C">
        <w:t xml:space="preserve">service </w:t>
      </w:r>
      <w:r w:rsidRPr="00520C7C">
        <w:t>delivery</w:t>
      </w:r>
      <w:r w:rsidR="00DD5DDC" w:rsidRPr="00520C7C">
        <w:t>.</w:t>
      </w:r>
      <w:proofErr w:type="gramEnd"/>
      <w:r w:rsidR="00DD5DDC" w:rsidRPr="00520C7C">
        <w:t xml:space="preserve"> </w:t>
      </w:r>
      <w:proofErr w:type="gramStart"/>
      <w:r w:rsidR="008D7727" w:rsidRPr="00520C7C">
        <w:t>Furthermore, e</w:t>
      </w:r>
      <w:r w:rsidRPr="00520C7C">
        <w:t xml:space="preserve">ngagement of service users </w:t>
      </w:r>
      <w:r w:rsidR="00DD5DDC" w:rsidRPr="00520C7C">
        <w:t xml:space="preserve">is </w:t>
      </w:r>
      <w:r w:rsidRPr="00520C7C">
        <w:t>encouraged</w:t>
      </w:r>
      <w:r w:rsidR="008D7727" w:rsidRPr="00520C7C">
        <w:t xml:space="preserve"> </w:t>
      </w:r>
      <w:r w:rsidR="00680700" w:rsidRPr="00520C7C">
        <w:t xml:space="preserve">at all stages of </w:t>
      </w:r>
      <w:r w:rsidR="00BD2630" w:rsidRPr="00520C7C">
        <w:t xml:space="preserve">intervention and </w:t>
      </w:r>
      <w:r w:rsidR="00680700" w:rsidRPr="00520C7C">
        <w:t>evaluation design</w:t>
      </w:r>
      <w:r w:rsidR="008D7727" w:rsidRPr="00520C7C">
        <w:t xml:space="preserve"> in MRC guidance</w:t>
      </w:r>
      <w:r w:rsidR="00C248AD" w:rsidRPr="00520C7C">
        <w:t>.</w:t>
      </w:r>
      <w:r w:rsidR="00AB133B" w:rsidRPr="00520C7C">
        <w:rPr>
          <w:vertAlign w:val="superscript"/>
        </w:rPr>
        <w:t>5</w:t>
      </w:r>
      <w:r w:rsidRPr="00520C7C">
        <w:t xml:space="preserve"> </w:t>
      </w:r>
      <w:r w:rsidR="00B155C0" w:rsidRPr="00520C7C">
        <w:t>Although this increases the likelihood of services meeting all stakeholder needs, concerns about the practical, personal, and professional costs of co-production have been raised</w:t>
      </w:r>
      <w:r w:rsidR="00C248AD" w:rsidRPr="00520C7C">
        <w:t>.</w:t>
      </w:r>
      <w:r w:rsidR="00C248AD" w:rsidRPr="00520C7C">
        <w:rPr>
          <w:vertAlign w:val="superscript"/>
        </w:rPr>
        <w:t>6</w:t>
      </w:r>
      <w:r w:rsidR="00C248AD" w:rsidRPr="00520C7C">
        <w:t xml:space="preserve"> </w:t>
      </w:r>
      <w:r w:rsidR="00C3798B" w:rsidRPr="00520C7C">
        <w:t>Resulting w</w:t>
      </w:r>
      <w:r w:rsidRPr="00520C7C">
        <w:t xml:space="preserve">ell-designed services </w:t>
      </w:r>
      <w:r w:rsidR="00C3798B" w:rsidRPr="00520C7C">
        <w:t xml:space="preserve">will be </w:t>
      </w:r>
      <w:r w:rsidRPr="00520C7C">
        <w:t xml:space="preserve">tailored to a problem that may have changed </w:t>
      </w:r>
      <w:r w:rsidR="00C20AB3" w:rsidRPr="00520C7C">
        <w:t xml:space="preserve">during </w:t>
      </w:r>
      <w:r w:rsidRPr="00520C7C">
        <w:t xml:space="preserve">the time </w:t>
      </w:r>
      <w:r w:rsidR="00F243E4" w:rsidRPr="00520C7C">
        <w:t>spent</w:t>
      </w:r>
      <w:r w:rsidRPr="00520C7C">
        <w:t xml:space="preserve"> develop</w:t>
      </w:r>
      <w:r w:rsidR="00F243E4" w:rsidRPr="00520C7C">
        <w:t>ing</w:t>
      </w:r>
      <w:r w:rsidRPr="00520C7C">
        <w:t xml:space="preserve"> the intervention</w:t>
      </w:r>
      <w:r w:rsidR="00156760" w:rsidRPr="00520C7C">
        <w:t>.</w:t>
      </w:r>
      <w:proofErr w:type="gramEnd"/>
      <w:r w:rsidR="00156760" w:rsidRPr="00520C7C">
        <w:t xml:space="preserve"> Additionally</w:t>
      </w:r>
      <w:r w:rsidR="00731417" w:rsidRPr="00520C7C">
        <w:t>,</w:t>
      </w:r>
      <w:r w:rsidR="00156760" w:rsidRPr="00520C7C">
        <w:t xml:space="preserve"> </w:t>
      </w:r>
      <w:r w:rsidRPr="00520C7C">
        <w:t>public access</w:t>
      </w:r>
      <w:r w:rsidR="00156760" w:rsidRPr="00520C7C">
        <w:t xml:space="preserve"> </w:t>
      </w:r>
      <w:proofErr w:type="gramStart"/>
      <w:r w:rsidR="00B33A13" w:rsidRPr="00520C7C">
        <w:t>may be</w:t>
      </w:r>
      <w:r w:rsidR="00156760" w:rsidRPr="00520C7C">
        <w:t xml:space="preserve"> delayed</w:t>
      </w:r>
      <w:proofErr w:type="gramEnd"/>
      <w:r w:rsidR="00C3798B" w:rsidRPr="00520C7C">
        <w:t xml:space="preserve">. </w:t>
      </w:r>
      <w:r w:rsidR="00156760" w:rsidRPr="00520C7C">
        <w:t>Resource</w:t>
      </w:r>
      <w:r w:rsidRPr="00520C7C">
        <w:t>-pressured public health</w:t>
      </w:r>
      <w:r w:rsidR="00156760" w:rsidRPr="00520C7C">
        <w:t xml:space="preserve"> services must therefore consider pragmatic alternatives to service design and implementation.</w:t>
      </w:r>
      <w:r w:rsidR="00C85FF2" w:rsidRPr="00520C7C">
        <w:t xml:space="preserve"> </w:t>
      </w:r>
      <w:r w:rsidR="001A124A" w:rsidRPr="00520C7C">
        <w:t xml:space="preserve">In this paper, we explore a novel </w:t>
      </w:r>
      <w:r w:rsidR="00860083" w:rsidRPr="00520C7C">
        <w:t xml:space="preserve">evaluation </w:t>
      </w:r>
      <w:r w:rsidR="001A124A" w:rsidRPr="00520C7C">
        <w:t xml:space="preserve">approach to these implementation challenges, focusing on a problem </w:t>
      </w:r>
      <w:r w:rsidR="00C20AB3" w:rsidRPr="00520C7C">
        <w:t xml:space="preserve">high on the </w:t>
      </w:r>
      <w:r w:rsidR="00881E56" w:rsidRPr="00520C7C">
        <w:t>public health</w:t>
      </w:r>
      <w:r w:rsidR="00C20AB3" w:rsidRPr="00520C7C">
        <w:t xml:space="preserve"> agenda:</w:t>
      </w:r>
      <w:r w:rsidR="001A124A" w:rsidRPr="00520C7C">
        <w:t xml:space="preserve"> obesity</w:t>
      </w:r>
      <w:r w:rsidR="00514D41" w:rsidRPr="00520C7C">
        <w:t xml:space="preserve"> and overweight</w:t>
      </w:r>
      <w:r w:rsidR="001A124A" w:rsidRPr="00520C7C">
        <w:t>.</w:t>
      </w:r>
    </w:p>
    <w:p w14:paraId="4F0A28FB" w14:textId="6ED2AC37" w:rsidR="000058A7" w:rsidRPr="00520C7C" w:rsidRDefault="000058A7" w:rsidP="00EB555B">
      <w:pPr>
        <w:shd w:val="clear" w:color="auto" w:fill="FFFFFF"/>
        <w:spacing w:line="480" w:lineRule="auto"/>
        <w:rPr>
          <w:rFonts w:eastAsia="Times New Roman"/>
          <w:b/>
          <w:sz w:val="32"/>
          <w:szCs w:val="32"/>
        </w:rPr>
      </w:pPr>
    </w:p>
    <w:p w14:paraId="342A6069" w14:textId="60A9990A" w:rsidR="000058A7" w:rsidRPr="00520C7C" w:rsidRDefault="000058A7" w:rsidP="00C85FF2">
      <w:pPr>
        <w:shd w:val="clear" w:color="auto" w:fill="FFFFFF"/>
        <w:spacing w:line="480" w:lineRule="auto"/>
        <w:rPr>
          <w:rFonts w:eastAsia="Times New Roman"/>
        </w:rPr>
      </w:pPr>
      <w:proofErr w:type="gramStart"/>
      <w:r w:rsidRPr="00520C7C">
        <w:rPr>
          <w:rFonts w:eastAsia="Times New Roman"/>
        </w:rPr>
        <w:t xml:space="preserve">Targeting </w:t>
      </w:r>
      <w:r w:rsidR="006E63A8" w:rsidRPr="00520C7C">
        <w:rPr>
          <w:rFonts w:eastAsia="Times New Roman"/>
        </w:rPr>
        <w:t xml:space="preserve">elevated weight status </w:t>
      </w:r>
      <w:r w:rsidRPr="00520C7C">
        <w:rPr>
          <w:rFonts w:eastAsia="Times New Roman"/>
        </w:rPr>
        <w:t>is a public health priority</w:t>
      </w:r>
      <w:r w:rsidR="002C2894" w:rsidRPr="00520C7C">
        <w:rPr>
          <w:rFonts w:eastAsia="Times New Roman"/>
        </w:rPr>
        <w:t xml:space="preserve">, </w:t>
      </w:r>
      <w:r w:rsidR="00C3798B" w:rsidRPr="00520C7C">
        <w:rPr>
          <w:rFonts w:eastAsia="Times New Roman"/>
        </w:rPr>
        <w:t xml:space="preserve">obesity </w:t>
      </w:r>
      <w:r w:rsidR="002C2894" w:rsidRPr="00520C7C">
        <w:rPr>
          <w:rFonts w:eastAsia="Times New Roman"/>
        </w:rPr>
        <w:t>being a</w:t>
      </w:r>
      <w:r w:rsidRPr="00520C7C">
        <w:rPr>
          <w:rFonts w:eastAsia="Times New Roman"/>
        </w:rPr>
        <w:t xml:space="preserve"> recognised risk factor for </w:t>
      </w:r>
      <w:r w:rsidR="00C3798B" w:rsidRPr="00520C7C">
        <w:rPr>
          <w:rFonts w:eastAsia="Times New Roman"/>
        </w:rPr>
        <w:t xml:space="preserve">many </w:t>
      </w:r>
      <w:r w:rsidR="00552B61">
        <w:rPr>
          <w:rFonts w:eastAsia="Times New Roman"/>
        </w:rPr>
        <w:t xml:space="preserve">negative </w:t>
      </w:r>
      <w:r w:rsidR="00C3798B" w:rsidRPr="00520C7C">
        <w:rPr>
          <w:rFonts w:eastAsia="Times New Roman"/>
        </w:rPr>
        <w:t>physical and psychological health outcomes</w:t>
      </w:r>
      <w:r w:rsidR="00423636" w:rsidRPr="00520C7C">
        <w:rPr>
          <w:rFonts w:eastAsia="Times New Roman"/>
        </w:rPr>
        <w:t>.</w:t>
      </w:r>
      <w:r w:rsidR="00F162A2" w:rsidRPr="00520C7C">
        <w:rPr>
          <w:rFonts w:eastAsia="Times New Roman"/>
          <w:vertAlign w:val="superscript"/>
        </w:rPr>
        <w:t>7</w:t>
      </w:r>
      <w:r w:rsidR="00423636" w:rsidRPr="00520C7C">
        <w:rPr>
          <w:rFonts w:eastAsia="Times New Roman"/>
          <w:vertAlign w:val="superscript"/>
        </w:rPr>
        <w:t>-</w:t>
      </w:r>
      <w:r w:rsidR="00F162A2" w:rsidRPr="00520C7C">
        <w:rPr>
          <w:rFonts w:eastAsia="Times New Roman"/>
          <w:vertAlign w:val="superscript"/>
        </w:rPr>
        <w:t>11</w:t>
      </w:r>
      <w:r w:rsidRPr="00520C7C">
        <w:rPr>
          <w:rFonts w:eastAsia="Times New Roman"/>
        </w:rPr>
        <w:t> In England</w:t>
      </w:r>
      <w:r w:rsidR="008A7FE7" w:rsidRPr="00520C7C">
        <w:rPr>
          <w:rFonts w:eastAsia="Times New Roman"/>
        </w:rPr>
        <w:t xml:space="preserve"> for example, </w:t>
      </w:r>
      <w:r w:rsidRPr="00520C7C">
        <w:rPr>
          <w:rFonts w:eastAsia="Times New Roman"/>
        </w:rPr>
        <w:t>obesity and overweight are associated with 30,000 deaths and an estimated National Health Service</w:t>
      </w:r>
      <w:r w:rsidR="003C70A8" w:rsidRPr="00520C7C">
        <w:rPr>
          <w:rFonts w:eastAsia="Times New Roman"/>
        </w:rPr>
        <w:t xml:space="preserve"> cost of £6.1 billion per annum</w:t>
      </w:r>
      <w:r w:rsidR="00423636" w:rsidRPr="00520C7C">
        <w:rPr>
          <w:rFonts w:eastAsia="Times New Roman"/>
        </w:rPr>
        <w:t>.</w:t>
      </w:r>
      <w:r w:rsidR="00F162A2" w:rsidRPr="00520C7C">
        <w:rPr>
          <w:rFonts w:eastAsia="Times New Roman"/>
          <w:vertAlign w:val="superscript"/>
        </w:rPr>
        <w:t>12</w:t>
      </w:r>
      <w:r w:rsidR="000E5AFB" w:rsidRPr="00520C7C">
        <w:rPr>
          <w:rFonts w:eastAsia="Times New Roman"/>
        </w:rPr>
        <w:t xml:space="preserve"> </w:t>
      </w:r>
      <w:r w:rsidR="003E4798" w:rsidRPr="00520C7C">
        <w:rPr>
          <w:rFonts w:eastAsia="Times New Roman"/>
        </w:rPr>
        <w:t>Globally</w:t>
      </w:r>
      <w:r w:rsidRPr="00520C7C">
        <w:rPr>
          <w:rFonts w:eastAsia="Times New Roman"/>
        </w:rPr>
        <w:t>, countries with higher income inequalities tend to have higher rates of obesity</w:t>
      </w:r>
      <w:r w:rsidR="00423636" w:rsidRPr="00520C7C">
        <w:rPr>
          <w:rFonts w:eastAsia="Times New Roman"/>
        </w:rPr>
        <w:t>.</w:t>
      </w:r>
      <w:r w:rsidR="00423636" w:rsidRPr="00520C7C">
        <w:rPr>
          <w:rFonts w:eastAsia="Times New Roman"/>
          <w:vertAlign w:val="superscript"/>
        </w:rPr>
        <w:t>1</w:t>
      </w:r>
      <w:r w:rsidR="00F162A2" w:rsidRPr="00520C7C">
        <w:rPr>
          <w:rFonts w:eastAsia="Times New Roman"/>
          <w:vertAlign w:val="superscript"/>
        </w:rPr>
        <w:t>3</w:t>
      </w:r>
      <w:r w:rsidR="006937EB" w:rsidRPr="00520C7C">
        <w:rPr>
          <w:rFonts w:eastAsia="Times New Roman"/>
        </w:rPr>
        <w:t xml:space="preserve"> </w:t>
      </w:r>
      <w:r w:rsidR="00514D41" w:rsidRPr="00520C7C">
        <w:rPr>
          <w:rFonts w:eastAsia="Times New Roman"/>
        </w:rPr>
        <w:t xml:space="preserve">Excess weight </w:t>
      </w:r>
      <w:r w:rsidRPr="00520C7C">
        <w:rPr>
          <w:rFonts w:eastAsia="Times New Roman"/>
        </w:rPr>
        <w:t>is also associated with widening social and economic deprivation</w:t>
      </w:r>
      <w:r w:rsidR="00423636" w:rsidRPr="00520C7C">
        <w:rPr>
          <w:rFonts w:eastAsia="Times New Roman"/>
        </w:rPr>
        <w:t>,</w:t>
      </w:r>
      <w:r w:rsidR="00423636" w:rsidRPr="00520C7C">
        <w:rPr>
          <w:rFonts w:eastAsia="Times New Roman"/>
          <w:vertAlign w:val="superscript"/>
        </w:rPr>
        <w:t>1</w:t>
      </w:r>
      <w:r w:rsidR="00F162A2" w:rsidRPr="00520C7C">
        <w:rPr>
          <w:rFonts w:eastAsia="Times New Roman"/>
          <w:vertAlign w:val="superscript"/>
        </w:rPr>
        <w:t>4</w:t>
      </w:r>
      <w:r w:rsidR="006937EB" w:rsidRPr="00520C7C">
        <w:rPr>
          <w:rFonts w:eastAsia="Times New Roman"/>
        </w:rPr>
        <w:t xml:space="preserve"> </w:t>
      </w:r>
      <w:r w:rsidR="003E4798" w:rsidRPr="00520C7C">
        <w:rPr>
          <w:rFonts w:eastAsia="Times New Roman"/>
        </w:rPr>
        <w:t>with calls to improve the effectiveness of behaviour change interventions for low-income groups</w:t>
      </w:r>
      <w:r w:rsidR="00423636" w:rsidRPr="00520C7C">
        <w:rPr>
          <w:rFonts w:eastAsia="Times New Roman"/>
        </w:rPr>
        <w:t>.</w:t>
      </w:r>
      <w:r w:rsidR="00F162A2" w:rsidRPr="00520C7C">
        <w:rPr>
          <w:rFonts w:eastAsia="Times New Roman"/>
          <w:vertAlign w:val="superscript"/>
        </w:rPr>
        <w:t>15</w:t>
      </w:r>
      <w:r w:rsidR="00017DAD" w:rsidRPr="00520C7C">
        <w:rPr>
          <w:rFonts w:eastAsia="Times New Roman"/>
        </w:rPr>
        <w:t xml:space="preserve"> </w:t>
      </w:r>
      <w:r w:rsidR="003E4798" w:rsidRPr="00520C7C">
        <w:rPr>
          <w:rFonts w:eastAsia="Times New Roman"/>
        </w:rPr>
        <w:t>There is a clear</w:t>
      </w:r>
      <w:r w:rsidRPr="00520C7C">
        <w:rPr>
          <w:rFonts w:eastAsia="Times New Roman"/>
        </w:rPr>
        <w:t xml:space="preserve"> need for effective</w:t>
      </w:r>
      <w:r w:rsidR="007B3D63" w:rsidRPr="00520C7C">
        <w:rPr>
          <w:rFonts w:eastAsia="Times New Roman"/>
        </w:rPr>
        <w:t xml:space="preserve"> </w:t>
      </w:r>
      <w:r w:rsidR="0069180A" w:rsidRPr="00520C7C">
        <w:rPr>
          <w:rFonts w:eastAsia="Times New Roman"/>
        </w:rPr>
        <w:t>public health prog</w:t>
      </w:r>
      <w:r w:rsidR="00423636" w:rsidRPr="00520C7C">
        <w:rPr>
          <w:rFonts w:eastAsia="Times New Roman"/>
        </w:rPr>
        <w:t>r</w:t>
      </w:r>
      <w:r w:rsidR="0069180A" w:rsidRPr="00520C7C">
        <w:rPr>
          <w:rFonts w:eastAsia="Times New Roman"/>
        </w:rPr>
        <w:t>ammes</w:t>
      </w:r>
      <w:r w:rsidR="003E4798" w:rsidRPr="00520C7C">
        <w:rPr>
          <w:rFonts w:eastAsia="Times New Roman"/>
        </w:rPr>
        <w:t xml:space="preserve"> that </w:t>
      </w:r>
      <w:r w:rsidR="003E4798" w:rsidRPr="00011925">
        <w:rPr>
          <w:rFonts w:eastAsia="Times New Roman"/>
        </w:rPr>
        <w:t>can be refined according to local need</w:t>
      </w:r>
      <w:r w:rsidR="00552B61" w:rsidRPr="00011925">
        <w:rPr>
          <w:rFonts w:eastAsia="Times New Roman"/>
        </w:rPr>
        <w:t xml:space="preserve">, especially in areas </w:t>
      </w:r>
      <w:r w:rsidR="004D7215" w:rsidRPr="00011925">
        <w:rPr>
          <w:rFonts w:eastAsia="Times New Roman"/>
        </w:rPr>
        <w:t>with</w:t>
      </w:r>
      <w:r w:rsidR="00552B61" w:rsidRPr="00011925">
        <w:rPr>
          <w:rFonts w:eastAsia="Times New Roman"/>
        </w:rPr>
        <w:t xml:space="preserve"> </w:t>
      </w:r>
      <w:r w:rsidR="004D7215" w:rsidRPr="00011925">
        <w:rPr>
          <w:rFonts w:eastAsia="Times New Roman"/>
        </w:rPr>
        <w:t xml:space="preserve">substantial </w:t>
      </w:r>
      <w:r w:rsidR="00552B61" w:rsidRPr="00011925">
        <w:rPr>
          <w:rFonts w:eastAsia="Times New Roman"/>
        </w:rPr>
        <w:t>deprivation</w:t>
      </w:r>
      <w:r w:rsidR="007B3D63" w:rsidRPr="00011925">
        <w:rPr>
          <w:rFonts w:eastAsia="Times New Roman"/>
        </w:rPr>
        <w:t>.</w:t>
      </w:r>
      <w:proofErr w:type="gramEnd"/>
      <w:r w:rsidRPr="00011925">
        <w:rPr>
          <w:rFonts w:eastAsia="Times New Roman"/>
        </w:rPr>
        <w:t xml:space="preserve"> </w:t>
      </w:r>
      <w:r w:rsidR="007B3D63" w:rsidRPr="00011925">
        <w:rPr>
          <w:rFonts w:eastAsia="Times New Roman"/>
        </w:rPr>
        <w:t xml:space="preserve"> </w:t>
      </w:r>
      <w:r w:rsidR="003E4798" w:rsidRPr="00011925">
        <w:rPr>
          <w:rFonts w:eastAsia="Times New Roman"/>
        </w:rPr>
        <w:t>T</w:t>
      </w:r>
      <w:r w:rsidRPr="00011925">
        <w:rPr>
          <w:rFonts w:eastAsia="Times New Roman"/>
        </w:rPr>
        <w:t>h</w:t>
      </w:r>
      <w:r w:rsidR="00007010" w:rsidRPr="00011925">
        <w:rPr>
          <w:rFonts w:eastAsia="Times New Roman"/>
        </w:rPr>
        <w:t xml:space="preserve">is </w:t>
      </w:r>
      <w:r w:rsidR="00B82184" w:rsidRPr="00011925">
        <w:rPr>
          <w:rFonts w:eastAsia="Times New Roman"/>
        </w:rPr>
        <w:t>evaluation</w:t>
      </w:r>
      <w:r w:rsidRPr="00011925">
        <w:rPr>
          <w:rFonts w:eastAsia="Times New Roman"/>
        </w:rPr>
        <w:t xml:space="preserve"> </w:t>
      </w:r>
      <w:r w:rsidR="007D22F5" w:rsidRPr="00011925">
        <w:rPr>
          <w:rFonts w:eastAsia="Times New Roman"/>
        </w:rPr>
        <w:t>focuses</w:t>
      </w:r>
      <w:r w:rsidRPr="00011925">
        <w:rPr>
          <w:rFonts w:eastAsia="Times New Roman"/>
        </w:rPr>
        <w:t xml:space="preserve"> on Northumber</w:t>
      </w:r>
      <w:r w:rsidR="006F5687" w:rsidRPr="00011925">
        <w:rPr>
          <w:rFonts w:eastAsia="Times New Roman"/>
        </w:rPr>
        <w:t xml:space="preserve">land, </w:t>
      </w:r>
      <w:r w:rsidR="003E4798" w:rsidRPr="00011925">
        <w:rPr>
          <w:rFonts w:eastAsia="Times New Roman"/>
        </w:rPr>
        <w:t xml:space="preserve">in </w:t>
      </w:r>
      <w:r w:rsidR="00CF4D07" w:rsidRPr="00011925">
        <w:rPr>
          <w:rFonts w:eastAsia="Times New Roman"/>
        </w:rPr>
        <w:t>northeast</w:t>
      </w:r>
      <w:r w:rsidR="0067249D" w:rsidRPr="00011925">
        <w:rPr>
          <w:rFonts w:eastAsia="Times New Roman"/>
        </w:rPr>
        <w:t xml:space="preserve"> </w:t>
      </w:r>
      <w:r w:rsidR="003E4798" w:rsidRPr="00011925">
        <w:rPr>
          <w:rFonts w:eastAsia="Times New Roman"/>
        </w:rPr>
        <w:t>England</w:t>
      </w:r>
      <w:r w:rsidR="00374519" w:rsidRPr="00011925">
        <w:rPr>
          <w:rFonts w:eastAsia="Times New Roman"/>
        </w:rPr>
        <w:t xml:space="preserve">. Northumberland is one of the lowest ranked counties </w:t>
      </w:r>
      <w:r w:rsidRPr="00011925">
        <w:rPr>
          <w:rFonts w:eastAsia="Times New Roman"/>
        </w:rPr>
        <w:t>in England by Gross Value Added per capita </w:t>
      </w:r>
      <w:r w:rsidR="0065797E" w:rsidRPr="00011925">
        <w:rPr>
          <w:rFonts w:eastAsia="Times New Roman"/>
        </w:rPr>
        <w:t>(£</w:t>
      </w:r>
      <w:r w:rsidR="00F60193" w:rsidRPr="00011925">
        <w:rPr>
          <w:rFonts w:eastAsia="Times New Roman"/>
        </w:rPr>
        <w:t>16,140</w:t>
      </w:r>
      <w:r w:rsidR="00A442EA" w:rsidRPr="00011925">
        <w:rPr>
          <w:rFonts w:eastAsia="Times New Roman"/>
        </w:rPr>
        <w:t>)</w:t>
      </w:r>
      <w:r w:rsidR="00423636" w:rsidRPr="00011925">
        <w:rPr>
          <w:rFonts w:eastAsia="Times New Roman"/>
        </w:rPr>
        <w:t>.</w:t>
      </w:r>
      <w:r w:rsidR="00F162A2" w:rsidRPr="00011925">
        <w:rPr>
          <w:rFonts w:eastAsia="Times New Roman"/>
          <w:vertAlign w:val="superscript"/>
        </w:rPr>
        <w:t>16</w:t>
      </w:r>
      <w:r w:rsidR="00C2235A" w:rsidRPr="00011925">
        <w:rPr>
          <w:rFonts w:eastAsia="Times New Roman"/>
        </w:rPr>
        <w:t xml:space="preserve"> </w:t>
      </w:r>
      <w:r w:rsidR="00362118" w:rsidRPr="00011925">
        <w:rPr>
          <w:rFonts w:eastAsia="Times New Roman"/>
        </w:rPr>
        <w:t xml:space="preserve">Unemployment is higher </w:t>
      </w:r>
      <w:r w:rsidR="00746E87" w:rsidRPr="00011925">
        <w:rPr>
          <w:rFonts w:eastAsia="Times New Roman"/>
        </w:rPr>
        <w:t>(5.</w:t>
      </w:r>
      <w:r w:rsidR="00AA2CEA" w:rsidRPr="00011925">
        <w:rPr>
          <w:rFonts w:eastAsia="Times New Roman"/>
        </w:rPr>
        <w:t>5</w:t>
      </w:r>
      <w:r w:rsidR="00746E87" w:rsidRPr="00011925">
        <w:rPr>
          <w:rFonts w:eastAsia="Times New Roman"/>
        </w:rPr>
        <w:t xml:space="preserve">% versus 4.8%) </w:t>
      </w:r>
      <w:r w:rsidR="00362118" w:rsidRPr="00011925">
        <w:rPr>
          <w:rFonts w:eastAsia="Times New Roman"/>
        </w:rPr>
        <w:t>than the England average</w:t>
      </w:r>
      <w:r w:rsidR="00F162A2" w:rsidRPr="00011925">
        <w:rPr>
          <w:rFonts w:eastAsia="Times New Roman"/>
          <w:vertAlign w:val="superscript"/>
        </w:rPr>
        <w:t>17</w:t>
      </w:r>
      <w:r w:rsidR="0025334A" w:rsidRPr="00011925">
        <w:rPr>
          <w:rFonts w:eastAsia="Times New Roman"/>
        </w:rPr>
        <w:t xml:space="preserve"> and </w:t>
      </w:r>
      <w:r w:rsidR="00427B7F" w:rsidRPr="00011925">
        <w:rPr>
          <w:rFonts w:eastAsia="Times New Roman"/>
        </w:rPr>
        <w:t>Northumberland p</w:t>
      </w:r>
      <w:r w:rsidR="00515EEC" w:rsidRPr="00011925">
        <w:rPr>
          <w:rFonts w:eastAsia="Times New Roman"/>
        </w:rPr>
        <w:t xml:space="preserve">ublic health spend per person is £53, compared </w:t>
      </w:r>
      <w:r w:rsidR="00515EEC" w:rsidRPr="00520C7C">
        <w:rPr>
          <w:rFonts w:eastAsia="Times New Roman"/>
        </w:rPr>
        <w:t>to a</w:t>
      </w:r>
      <w:r w:rsidR="00007010" w:rsidRPr="00520C7C">
        <w:rPr>
          <w:rFonts w:eastAsia="Times New Roman"/>
        </w:rPr>
        <w:t xml:space="preserve"> £59</w:t>
      </w:r>
      <w:r w:rsidR="00C3798B" w:rsidRPr="00520C7C">
        <w:rPr>
          <w:rFonts w:eastAsia="Times New Roman"/>
        </w:rPr>
        <w:t xml:space="preserve"> national</w:t>
      </w:r>
      <w:r w:rsidR="00515EEC" w:rsidRPr="00520C7C">
        <w:rPr>
          <w:rFonts w:eastAsia="Times New Roman"/>
        </w:rPr>
        <w:t xml:space="preserve"> average</w:t>
      </w:r>
      <w:r w:rsidR="00423636" w:rsidRPr="00520C7C">
        <w:rPr>
          <w:rFonts w:eastAsia="Times New Roman"/>
        </w:rPr>
        <w:t>.</w:t>
      </w:r>
      <w:r w:rsidR="00423636" w:rsidRPr="00520C7C">
        <w:rPr>
          <w:rFonts w:eastAsia="Times New Roman"/>
          <w:vertAlign w:val="superscript"/>
        </w:rPr>
        <w:t>1</w:t>
      </w:r>
      <w:r w:rsidR="00F162A2" w:rsidRPr="00520C7C">
        <w:rPr>
          <w:rFonts w:eastAsia="Times New Roman"/>
          <w:vertAlign w:val="superscript"/>
        </w:rPr>
        <w:t>8</w:t>
      </w:r>
      <w:r w:rsidR="00617114" w:rsidRPr="00520C7C">
        <w:rPr>
          <w:rFonts w:eastAsia="Times New Roman"/>
        </w:rPr>
        <w:t xml:space="preserve"> </w:t>
      </w:r>
      <w:r w:rsidR="00746E87" w:rsidRPr="00520C7C">
        <w:rPr>
          <w:rFonts w:eastAsia="Times New Roman"/>
        </w:rPr>
        <w:t>6</w:t>
      </w:r>
      <w:r w:rsidR="0025334A" w:rsidRPr="00520C7C">
        <w:rPr>
          <w:rFonts w:eastAsia="Times New Roman"/>
        </w:rPr>
        <w:t>3.8</w:t>
      </w:r>
      <w:r w:rsidRPr="00520C7C">
        <w:rPr>
          <w:rFonts w:eastAsia="Times New Roman"/>
        </w:rPr>
        <w:t xml:space="preserve">% of adults are classified as having excess weight, </w:t>
      </w:r>
      <w:r w:rsidR="0025334A" w:rsidRPr="00520C7C">
        <w:rPr>
          <w:rFonts w:eastAsia="Times New Roman"/>
        </w:rPr>
        <w:t xml:space="preserve">higher than </w:t>
      </w:r>
      <w:r w:rsidRPr="00520C7C">
        <w:rPr>
          <w:rFonts w:eastAsia="Times New Roman"/>
        </w:rPr>
        <w:t>th</w:t>
      </w:r>
      <w:r w:rsidR="00436556" w:rsidRPr="00520C7C">
        <w:rPr>
          <w:rFonts w:eastAsia="Times New Roman"/>
        </w:rPr>
        <w:t>e national average of 61.</w:t>
      </w:r>
      <w:r w:rsidR="0025334A" w:rsidRPr="00520C7C">
        <w:rPr>
          <w:rFonts w:eastAsia="Times New Roman"/>
        </w:rPr>
        <w:t>3</w:t>
      </w:r>
      <w:r w:rsidRPr="00520C7C">
        <w:rPr>
          <w:rFonts w:eastAsia="Times New Roman"/>
        </w:rPr>
        <w:t>%</w:t>
      </w:r>
      <w:r w:rsidR="00423636" w:rsidRPr="00520C7C">
        <w:rPr>
          <w:rFonts w:eastAsia="Times New Roman"/>
        </w:rPr>
        <w:t>.</w:t>
      </w:r>
      <w:r w:rsidR="00423636" w:rsidRPr="00520C7C">
        <w:rPr>
          <w:rFonts w:eastAsia="Times New Roman"/>
          <w:vertAlign w:val="superscript"/>
        </w:rPr>
        <w:t>1</w:t>
      </w:r>
      <w:r w:rsidR="00F162A2" w:rsidRPr="00520C7C">
        <w:rPr>
          <w:rFonts w:eastAsia="Times New Roman"/>
          <w:vertAlign w:val="superscript"/>
        </w:rPr>
        <w:t>9</w:t>
      </w:r>
      <w:r w:rsidR="00515EEC" w:rsidRPr="00520C7C">
        <w:rPr>
          <w:rFonts w:eastAsia="Times New Roman"/>
        </w:rPr>
        <w:t xml:space="preserve"> </w:t>
      </w:r>
    </w:p>
    <w:p w14:paraId="5499DC01" w14:textId="77777777" w:rsidR="00B95AFC" w:rsidRPr="00520C7C" w:rsidRDefault="00B95AFC" w:rsidP="00EB555B">
      <w:pPr>
        <w:pStyle w:val="xmsonormal"/>
        <w:shd w:val="clear" w:color="auto" w:fill="FFFFFF"/>
        <w:spacing w:before="0" w:beforeAutospacing="0" w:after="0" w:afterAutospacing="0" w:line="480" w:lineRule="auto"/>
        <w:rPr>
          <w:rFonts w:eastAsia="Times New Roman"/>
        </w:rPr>
      </w:pPr>
    </w:p>
    <w:p w14:paraId="6766B5B8" w14:textId="4A5F3F04" w:rsidR="00E04F08" w:rsidRPr="00520C7C" w:rsidRDefault="0072756D" w:rsidP="002D5653">
      <w:pPr>
        <w:pStyle w:val="xmsonormal"/>
        <w:shd w:val="clear" w:color="auto" w:fill="FFFFFF"/>
        <w:spacing w:before="0" w:beforeAutospacing="0" w:after="0" w:afterAutospacing="0" w:line="480" w:lineRule="auto"/>
      </w:pPr>
      <w:r w:rsidRPr="00520C7C">
        <w:t xml:space="preserve">The </w:t>
      </w:r>
      <w:r w:rsidR="00E04F08" w:rsidRPr="00520C7C">
        <w:t>need for innovation within public health</w:t>
      </w:r>
      <w:r w:rsidRPr="00520C7C">
        <w:t xml:space="preserve"> </w:t>
      </w:r>
      <w:proofErr w:type="gramStart"/>
      <w:r w:rsidRPr="00520C7C">
        <w:t>has been postulated</w:t>
      </w:r>
      <w:proofErr w:type="gramEnd"/>
      <w:r w:rsidR="00E04F08" w:rsidRPr="00520C7C">
        <w:t>, shifting away from the t</w:t>
      </w:r>
      <w:r w:rsidR="000A5549" w:rsidRPr="00520C7C">
        <w:t>raditional linear pre-conceived and</w:t>
      </w:r>
      <w:r w:rsidR="00E04F08" w:rsidRPr="00520C7C">
        <w:t xml:space="preserve"> evidence-based model</w:t>
      </w:r>
      <w:r w:rsidR="00423636" w:rsidRPr="00520C7C">
        <w:t>.</w:t>
      </w:r>
      <w:r w:rsidR="00B07300" w:rsidRPr="00520C7C">
        <w:rPr>
          <w:vertAlign w:val="superscript"/>
        </w:rPr>
        <w:t>20</w:t>
      </w:r>
      <w:r w:rsidR="00617114" w:rsidRPr="00520C7C">
        <w:t xml:space="preserve"> </w:t>
      </w:r>
      <w:r w:rsidR="00552B61">
        <w:t xml:space="preserve">For example, </w:t>
      </w:r>
      <w:r w:rsidR="006355D4" w:rsidRPr="00520C7C">
        <w:t>Parry and colleagues</w:t>
      </w:r>
      <w:r w:rsidR="00B07300" w:rsidRPr="00520C7C">
        <w:rPr>
          <w:vertAlign w:val="superscript"/>
        </w:rPr>
        <w:t>21</w:t>
      </w:r>
      <w:r w:rsidR="006355D4" w:rsidRPr="00520C7C">
        <w:t xml:space="preserve"> </w:t>
      </w:r>
      <w:r w:rsidR="00552B61">
        <w:t>call for research to</w:t>
      </w:r>
      <w:r w:rsidR="001F3861" w:rsidRPr="00520C7C">
        <w:t xml:space="preserve"> explore </w:t>
      </w:r>
      <w:r w:rsidR="00552B61">
        <w:t xml:space="preserve">not only </w:t>
      </w:r>
      <w:r w:rsidR="001F3861" w:rsidRPr="00520C7C">
        <w:t xml:space="preserve">how a programme works, but also </w:t>
      </w:r>
      <w:r w:rsidR="006355D4" w:rsidRPr="00520C7C">
        <w:t>the</w:t>
      </w:r>
      <w:r w:rsidR="001F3861" w:rsidRPr="00520C7C">
        <w:t xml:space="preserve"> context and </w:t>
      </w:r>
      <w:r w:rsidR="006355D4" w:rsidRPr="00520C7C">
        <w:t xml:space="preserve">requirements for </w:t>
      </w:r>
      <w:r w:rsidR="001F3861" w:rsidRPr="00520C7C">
        <w:t xml:space="preserve">any adaptations. </w:t>
      </w:r>
      <w:r w:rsidR="0065797E" w:rsidRPr="00520C7C">
        <w:t xml:space="preserve">One </w:t>
      </w:r>
      <w:r w:rsidR="006355D4" w:rsidRPr="00520C7C">
        <w:t xml:space="preserve">such </w:t>
      </w:r>
      <w:r w:rsidR="0065797E" w:rsidRPr="00520C7C">
        <w:t>a</w:t>
      </w:r>
      <w:r w:rsidR="001F3861" w:rsidRPr="00520C7C">
        <w:t>pproach</w:t>
      </w:r>
      <w:r w:rsidR="0065797E" w:rsidRPr="00520C7C">
        <w:t xml:space="preserve"> is prototyping</w:t>
      </w:r>
      <w:r w:rsidR="001F3861" w:rsidRPr="00520C7C">
        <w:rPr>
          <w:vertAlign w:val="superscript"/>
        </w:rPr>
        <w:t>2</w:t>
      </w:r>
      <w:r w:rsidR="00B07300" w:rsidRPr="00520C7C">
        <w:rPr>
          <w:vertAlign w:val="superscript"/>
        </w:rPr>
        <w:t>2</w:t>
      </w:r>
      <w:r w:rsidR="006F0C25" w:rsidRPr="00520C7C">
        <w:t xml:space="preserve"> </w:t>
      </w:r>
      <w:r w:rsidR="002A5B06" w:rsidRPr="00520C7C">
        <w:t xml:space="preserve">where </w:t>
      </w:r>
      <w:r w:rsidR="00E04F08" w:rsidRPr="00520C7C">
        <w:t>projects test innovations iteratively, with ongoing refinement considering the i</w:t>
      </w:r>
      <w:r w:rsidR="00FD4EB7" w:rsidRPr="00520C7C">
        <w:t>nterplay between a programme</w:t>
      </w:r>
      <w:r w:rsidR="00E04F08" w:rsidRPr="00520C7C">
        <w:t xml:space="preserve"> and its delivery context</w:t>
      </w:r>
      <w:r w:rsidR="00FF14FD" w:rsidRPr="00520C7C">
        <w:t>.</w:t>
      </w:r>
      <w:r w:rsidR="006355D4" w:rsidRPr="00520C7C">
        <w:t xml:space="preserve"> Evaluation and public health teams are able to</w:t>
      </w:r>
      <w:r w:rsidR="001F3861" w:rsidRPr="00520C7C">
        <w:t xml:space="preserve"> communicate at all stages of the programme, with </w:t>
      </w:r>
      <w:r w:rsidR="006355D4" w:rsidRPr="00520C7C">
        <w:t xml:space="preserve">evaluation </w:t>
      </w:r>
      <w:r w:rsidR="001F3861" w:rsidRPr="00520C7C">
        <w:t>recommendations incorporated via a rapid-cycle basis</w:t>
      </w:r>
      <w:r w:rsidR="004D7215">
        <w:t>.</w:t>
      </w:r>
      <w:r w:rsidR="00B07300" w:rsidRPr="00520C7C">
        <w:rPr>
          <w:vertAlign w:val="superscript"/>
        </w:rPr>
        <w:t>21</w:t>
      </w:r>
      <w:r w:rsidR="006355D4" w:rsidRPr="00520C7C">
        <w:t xml:space="preserve"> </w:t>
      </w:r>
      <w:r w:rsidR="00EA399A" w:rsidRPr="00520C7C">
        <w:rPr>
          <w:rFonts w:eastAsia="MS PGothic"/>
        </w:rPr>
        <w:t>A small number of studies to date, for example in drug prevention</w:t>
      </w:r>
      <w:r w:rsidR="00FF14FD" w:rsidRPr="00520C7C">
        <w:rPr>
          <w:rFonts w:eastAsia="MS PGothic"/>
          <w:vertAlign w:val="superscript"/>
        </w:rPr>
        <w:t>2</w:t>
      </w:r>
      <w:r w:rsidR="00B07300" w:rsidRPr="00520C7C">
        <w:rPr>
          <w:rFonts w:eastAsia="MS PGothic"/>
          <w:vertAlign w:val="superscript"/>
        </w:rPr>
        <w:t>2</w:t>
      </w:r>
      <w:r w:rsidR="00EA399A" w:rsidRPr="00520C7C">
        <w:rPr>
          <w:rFonts w:eastAsia="MS PGothic"/>
        </w:rPr>
        <w:t xml:space="preserve"> and web-based support of long-term </w:t>
      </w:r>
      <w:r w:rsidR="00EA399A" w:rsidRPr="00011925">
        <w:rPr>
          <w:rFonts w:eastAsia="MS PGothic"/>
        </w:rPr>
        <w:t>weight loss</w:t>
      </w:r>
      <w:r w:rsidR="00FF14FD" w:rsidRPr="00011925">
        <w:rPr>
          <w:rFonts w:eastAsia="MS PGothic"/>
          <w:vertAlign w:val="superscript"/>
        </w:rPr>
        <w:t>2</w:t>
      </w:r>
      <w:r w:rsidR="00B07300" w:rsidRPr="00011925">
        <w:rPr>
          <w:rFonts w:eastAsia="MS PGothic"/>
          <w:vertAlign w:val="superscript"/>
        </w:rPr>
        <w:t>3</w:t>
      </w:r>
      <w:r w:rsidR="00EA399A" w:rsidRPr="00011925">
        <w:rPr>
          <w:rFonts w:eastAsia="MS PGothic"/>
        </w:rPr>
        <w:t xml:space="preserve"> have demonstrated efficienc</w:t>
      </w:r>
      <w:r w:rsidR="00ED0CD6" w:rsidRPr="00011925">
        <w:rPr>
          <w:rFonts w:eastAsia="MS PGothic"/>
        </w:rPr>
        <w:t xml:space="preserve">ies </w:t>
      </w:r>
      <w:r w:rsidR="004D7215" w:rsidRPr="00011925">
        <w:rPr>
          <w:rFonts w:eastAsia="MS PGothic"/>
        </w:rPr>
        <w:t xml:space="preserve">when including elements of prototyping within programme development </w:t>
      </w:r>
      <w:r w:rsidR="001933AB" w:rsidRPr="00011925">
        <w:rPr>
          <w:rFonts w:eastAsia="MS PGothic"/>
        </w:rPr>
        <w:t>(including time, adaptation to context and cost)</w:t>
      </w:r>
      <w:r w:rsidR="00EA399A" w:rsidRPr="00011925">
        <w:rPr>
          <w:rFonts w:eastAsia="MS PGothic"/>
        </w:rPr>
        <w:t>.</w:t>
      </w:r>
      <w:r w:rsidR="00EA399A" w:rsidRPr="00011925">
        <w:rPr>
          <w:rFonts w:eastAsia="MS PGothic"/>
          <w:i/>
        </w:rPr>
        <w:t xml:space="preserve"> </w:t>
      </w:r>
      <w:r w:rsidR="00E04F08" w:rsidRPr="00011925">
        <w:t xml:space="preserve">Such an approach seems particularly </w:t>
      </w:r>
      <w:proofErr w:type="gramStart"/>
      <w:r w:rsidR="00E04F08" w:rsidRPr="00011925">
        <w:t>well-suited</w:t>
      </w:r>
      <w:proofErr w:type="gramEnd"/>
      <w:r w:rsidR="00E04F08" w:rsidRPr="00011925">
        <w:t xml:space="preserve"> to</w:t>
      </w:r>
      <w:r w:rsidR="00B64BCE" w:rsidRPr="00011925">
        <w:t xml:space="preserve"> weight management</w:t>
      </w:r>
      <w:r w:rsidR="00E04F08" w:rsidRPr="00011925">
        <w:t xml:space="preserve">, where there are many examples of ‘good’ practice, </w:t>
      </w:r>
      <w:r w:rsidR="00515CBB" w:rsidRPr="00011925">
        <w:t xml:space="preserve">or effectiveness, but </w:t>
      </w:r>
      <w:r w:rsidR="00E04F08" w:rsidRPr="00011925">
        <w:t>no clear c</w:t>
      </w:r>
      <w:r w:rsidR="000A5549" w:rsidRPr="00011925">
        <w:t>onsensus on ‘best’ pra</w:t>
      </w:r>
      <w:r w:rsidR="009452BF" w:rsidRPr="00011925">
        <w:t>ctice</w:t>
      </w:r>
      <w:r w:rsidR="00B64BCE" w:rsidRPr="00011925">
        <w:t xml:space="preserve"> at service-delivery </w:t>
      </w:r>
      <w:r w:rsidR="00B64BCE" w:rsidRPr="00520C7C">
        <w:t>level</w:t>
      </w:r>
      <w:r w:rsidR="009452BF" w:rsidRPr="00520C7C">
        <w:t xml:space="preserve">. There </w:t>
      </w:r>
      <w:r w:rsidR="000A5549" w:rsidRPr="00520C7C">
        <w:t>is also</w:t>
      </w:r>
      <w:r w:rsidR="00E04F08" w:rsidRPr="00520C7C">
        <w:t xml:space="preserve"> limited understanding of how </w:t>
      </w:r>
      <w:r w:rsidR="00CA5AB3" w:rsidRPr="00520C7C">
        <w:t>‘scaling up’ and adapting of</w:t>
      </w:r>
      <w:r w:rsidR="00E04F08" w:rsidRPr="00520C7C">
        <w:t xml:space="preserve"> </w:t>
      </w:r>
      <w:r w:rsidR="00B64BCE" w:rsidRPr="00520C7C">
        <w:t xml:space="preserve">programmes or </w:t>
      </w:r>
      <w:r w:rsidR="00E04F08" w:rsidRPr="00520C7C">
        <w:t xml:space="preserve">interventions to </w:t>
      </w:r>
      <w:r w:rsidR="00515CBB" w:rsidRPr="00520C7C">
        <w:t xml:space="preserve">local </w:t>
      </w:r>
      <w:r w:rsidR="00E04F08" w:rsidRPr="00520C7C">
        <w:t xml:space="preserve">contexts may </w:t>
      </w:r>
      <w:proofErr w:type="gramStart"/>
      <w:r w:rsidR="00E04F08" w:rsidRPr="00520C7C">
        <w:t>impact on</w:t>
      </w:r>
      <w:proofErr w:type="gramEnd"/>
      <w:r w:rsidR="00E536FF" w:rsidRPr="00520C7C">
        <w:t xml:space="preserve"> </w:t>
      </w:r>
      <w:r w:rsidR="00E04F08" w:rsidRPr="00520C7C">
        <w:t xml:space="preserve">effectiveness. </w:t>
      </w:r>
      <w:r w:rsidR="000E5AFB" w:rsidRPr="00520C7C">
        <w:t>This</w:t>
      </w:r>
      <w:r w:rsidR="00E04F08" w:rsidRPr="00520C7C">
        <w:t xml:space="preserve"> evaluation has </w:t>
      </w:r>
      <w:r w:rsidR="00515CBB" w:rsidRPr="00520C7C">
        <w:t xml:space="preserve">particular </w:t>
      </w:r>
      <w:r w:rsidR="00E04F08" w:rsidRPr="00520C7C">
        <w:t xml:space="preserve">value </w:t>
      </w:r>
      <w:r w:rsidR="005E3136" w:rsidRPr="00520C7C">
        <w:t xml:space="preserve">therefore </w:t>
      </w:r>
      <w:r w:rsidR="00E04F08" w:rsidRPr="00520C7C">
        <w:t>in testing a prot</w:t>
      </w:r>
      <w:r w:rsidR="00B64BCE" w:rsidRPr="00520C7C">
        <w:t xml:space="preserve">otyping approach for a </w:t>
      </w:r>
      <w:r w:rsidR="00E04F08" w:rsidRPr="00520C7C">
        <w:t>weight management</w:t>
      </w:r>
      <w:r w:rsidR="00B64BCE" w:rsidRPr="00520C7C">
        <w:t xml:space="preserve"> programme</w:t>
      </w:r>
      <w:r w:rsidR="00802BD4" w:rsidRPr="00520C7C">
        <w:t>,</w:t>
      </w:r>
      <w:r w:rsidR="00B64BCE" w:rsidRPr="00520C7C">
        <w:t xml:space="preserve"> delivered </w:t>
      </w:r>
      <w:r w:rsidR="00802BD4" w:rsidRPr="00520C7C">
        <w:t xml:space="preserve">and adapted ‘in real-time’, </w:t>
      </w:r>
      <w:r w:rsidR="00B64BCE" w:rsidRPr="00520C7C">
        <w:t>at local authority level</w:t>
      </w:r>
      <w:r w:rsidR="00E04F08" w:rsidRPr="00520C7C">
        <w:t xml:space="preserve">. </w:t>
      </w:r>
    </w:p>
    <w:p w14:paraId="65C8352A" w14:textId="03462947" w:rsidR="003F2B8D" w:rsidRPr="00011925" w:rsidRDefault="003F2B8D" w:rsidP="002D5653">
      <w:pPr>
        <w:pStyle w:val="xmsonormal"/>
        <w:shd w:val="clear" w:color="auto" w:fill="FFFFFF"/>
        <w:spacing w:before="0" w:beforeAutospacing="0" w:after="0" w:afterAutospacing="0" w:line="480" w:lineRule="auto"/>
      </w:pPr>
      <w:bookmarkStart w:id="0" w:name="_Hlk15458593"/>
      <w:r w:rsidRPr="00520C7C">
        <w:t xml:space="preserve">The aim was to explore implementation of </w:t>
      </w:r>
      <w:r w:rsidRPr="00011925">
        <w:t>an ‘off-the-shelf’ weight management programme, Momenta</w:t>
      </w:r>
      <w:r w:rsidRPr="00011925">
        <w:rPr>
          <w:vertAlign w:val="superscript"/>
        </w:rPr>
        <w:t>2</w:t>
      </w:r>
      <w:r w:rsidR="00B07300" w:rsidRPr="00011925">
        <w:rPr>
          <w:vertAlign w:val="superscript"/>
        </w:rPr>
        <w:t>4</w:t>
      </w:r>
      <w:r w:rsidRPr="00011925">
        <w:t>, in a challenging context.</w:t>
      </w:r>
      <w:bookmarkStart w:id="1" w:name="_Hlk15459146"/>
      <w:r w:rsidRPr="00011925">
        <w:t xml:space="preserve"> Specific objectives were to explore local implementation</w:t>
      </w:r>
      <w:r w:rsidR="00EE689D" w:rsidRPr="00011925">
        <w:t>,</w:t>
      </w:r>
      <w:r w:rsidR="002A08C6" w:rsidRPr="00011925">
        <w:t xml:space="preserve"> </w:t>
      </w:r>
      <w:r w:rsidR="00EE689D" w:rsidRPr="00011925">
        <w:t>consider</w:t>
      </w:r>
      <w:r w:rsidR="003306D1" w:rsidRPr="00011925">
        <w:t xml:space="preserve"> </w:t>
      </w:r>
      <w:bookmarkStart w:id="2" w:name="_Hlk9340084"/>
      <w:r w:rsidR="00EE689D" w:rsidRPr="00011925">
        <w:t>feasibility</w:t>
      </w:r>
      <w:r w:rsidR="003306D1" w:rsidRPr="00011925">
        <w:t xml:space="preserve"> of the iterative prototyping evaluation </w:t>
      </w:r>
      <w:r w:rsidR="00EE689D" w:rsidRPr="00011925">
        <w:t>framework</w:t>
      </w:r>
      <w:bookmarkEnd w:id="2"/>
      <w:r w:rsidR="007D736D" w:rsidRPr="00011925">
        <w:t xml:space="preserve"> and </w:t>
      </w:r>
      <w:r w:rsidR="0036300B" w:rsidRPr="00011925">
        <w:t>explore</w:t>
      </w:r>
      <w:r w:rsidR="007D736D" w:rsidRPr="00011925">
        <w:t xml:space="preserve"> preliminary outcome</w:t>
      </w:r>
      <w:bookmarkEnd w:id="1"/>
      <w:r w:rsidR="0036300B" w:rsidRPr="00011925">
        <w:t xml:space="preserve"> domains</w:t>
      </w:r>
      <w:r w:rsidR="0038662C" w:rsidRPr="00011925">
        <w:t xml:space="preserve"> including recruitment, retention, weight change and wellbeing</w:t>
      </w:r>
      <w:r w:rsidR="0036300B" w:rsidRPr="00011925">
        <w:t>.</w:t>
      </w:r>
    </w:p>
    <w:bookmarkEnd w:id="0"/>
    <w:p w14:paraId="17E8D36C" w14:textId="77777777" w:rsidR="004C4A50" w:rsidRPr="00011925" w:rsidRDefault="004C4A50" w:rsidP="00EB555B">
      <w:pPr>
        <w:kinsoku w:val="0"/>
        <w:overflowPunct w:val="0"/>
        <w:spacing w:line="480" w:lineRule="auto"/>
        <w:textAlignment w:val="baseline"/>
        <w:rPr>
          <w:rFonts w:eastAsia="MS PGothic"/>
        </w:rPr>
      </w:pPr>
    </w:p>
    <w:p w14:paraId="7D564440" w14:textId="4A417FFB" w:rsidR="007C6CA5" w:rsidRPr="00011925" w:rsidRDefault="004044DE" w:rsidP="00EB555B">
      <w:pPr>
        <w:kinsoku w:val="0"/>
        <w:overflowPunct w:val="0"/>
        <w:spacing w:line="480" w:lineRule="auto"/>
        <w:textAlignment w:val="baseline"/>
        <w:rPr>
          <w:rFonts w:eastAsia="MS PGothic"/>
          <w:b/>
        </w:rPr>
      </w:pPr>
      <w:r w:rsidRPr="00011925">
        <w:rPr>
          <w:rFonts w:eastAsia="MS PGothic"/>
          <w:b/>
        </w:rPr>
        <w:t>M</w:t>
      </w:r>
      <w:r w:rsidR="00A5629B" w:rsidRPr="00011925">
        <w:rPr>
          <w:rFonts w:eastAsia="MS PGothic"/>
          <w:b/>
        </w:rPr>
        <w:t>ETHODS</w:t>
      </w:r>
    </w:p>
    <w:p w14:paraId="4DD7A08A" w14:textId="77777777" w:rsidR="004C4A50" w:rsidRPr="00011925" w:rsidRDefault="004C4A50" w:rsidP="00EB555B">
      <w:pPr>
        <w:kinsoku w:val="0"/>
        <w:overflowPunct w:val="0"/>
        <w:spacing w:line="480" w:lineRule="auto"/>
        <w:textAlignment w:val="baseline"/>
        <w:rPr>
          <w:rFonts w:eastAsia="MS PGothic"/>
          <w:b/>
        </w:rPr>
      </w:pPr>
    </w:p>
    <w:p w14:paraId="4BD69E09" w14:textId="6CC6787B" w:rsidR="002409DF" w:rsidRPr="00011925" w:rsidRDefault="001A124A" w:rsidP="00EB555B">
      <w:pPr>
        <w:kinsoku w:val="0"/>
        <w:overflowPunct w:val="0"/>
        <w:spacing w:line="480" w:lineRule="auto"/>
        <w:textAlignment w:val="baseline"/>
        <w:rPr>
          <w:rFonts w:eastAsia="MS PGothic"/>
          <w:b/>
        </w:rPr>
      </w:pPr>
      <w:r w:rsidRPr="00011925">
        <w:rPr>
          <w:rFonts w:eastAsia="MS PGothic"/>
          <w:b/>
        </w:rPr>
        <w:t>The prototypin</w:t>
      </w:r>
      <w:r w:rsidR="001515C9" w:rsidRPr="00011925">
        <w:rPr>
          <w:rFonts w:eastAsia="MS PGothic"/>
          <w:b/>
        </w:rPr>
        <w:t>g process: local context and evaluation design</w:t>
      </w:r>
    </w:p>
    <w:p w14:paraId="1508EB3E" w14:textId="77777777" w:rsidR="004C4A50" w:rsidRPr="00011925" w:rsidRDefault="004C4A50" w:rsidP="00EB555B">
      <w:pPr>
        <w:kinsoku w:val="0"/>
        <w:overflowPunct w:val="0"/>
        <w:spacing w:line="480" w:lineRule="auto"/>
        <w:textAlignment w:val="baseline"/>
        <w:rPr>
          <w:rFonts w:eastAsia="MS PGothic"/>
          <w:b/>
        </w:rPr>
      </w:pPr>
    </w:p>
    <w:p w14:paraId="340BAF91" w14:textId="5F4C0C6B" w:rsidR="00957032" w:rsidRPr="00011925" w:rsidRDefault="001314E4" w:rsidP="00544B2D">
      <w:pPr>
        <w:kinsoku w:val="0"/>
        <w:overflowPunct w:val="0"/>
        <w:spacing w:line="480" w:lineRule="auto"/>
        <w:textAlignment w:val="baseline"/>
        <w:rPr>
          <w:rFonts w:eastAsia="MS PGothic"/>
        </w:rPr>
      </w:pPr>
      <w:r w:rsidRPr="00011925">
        <w:t xml:space="preserve">A local authority health needs assessment identified a gap in provision for a lifestyle-based </w:t>
      </w:r>
      <w:proofErr w:type="gramStart"/>
      <w:r w:rsidRPr="00011925">
        <w:t>weight management referral programme</w:t>
      </w:r>
      <w:proofErr w:type="gramEnd"/>
      <w:r w:rsidRPr="00011925">
        <w:t xml:space="preserve"> within Northumberland. </w:t>
      </w:r>
      <w:r w:rsidR="00CA7B8A" w:rsidRPr="00011925">
        <w:t>A</w:t>
      </w:r>
      <w:r w:rsidR="004044DE" w:rsidRPr="00011925">
        <w:t xml:space="preserve">dults </w:t>
      </w:r>
      <w:r w:rsidR="00CA7B8A" w:rsidRPr="00011925">
        <w:t xml:space="preserve">with overweight or obesity </w:t>
      </w:r>
      <w:r w:rsidR="004044DE" w:rsidRPr="00011925">
        <w:t xml:space="preserve">were </w:t>
      </w:r>
      <w:r w:rsidR="00425835" w:rsidRPr="00011925">
        <w:t xml:space="preserve">at the time </w:t>
      </w:r>
      <w:r w:rsidR="004044DE" w:rsidRPr="00011925">
        <w:t xml:space="preserve">eligible </w:t>
      </w:r>
      <w:r w:rsidR="009E44EA" w:rsidRPr="00011925">
        <w:t>for</w:t>
      </w:r>
      <w:r w:rsidR="004044DE" w:rsidRPr="00011925">
        <w:t xml:space="preserve"> </w:t>
      </w:r>
      <w:r w:rsidR="009E44EA" w:rsidRPr="00011925">
        <w:t>referral</w:t>
      </w:r>
      <w:r w:rsidR="004044DE" w:rsidRPr="00011925">
        <w:t xml:space="preserve"> to the Northumberland exercise referral scheme (ERS</w:t>
      </w:r>
      <w:r w:rsidR="00465EEB" w:rsidRPr="00011925">
        <w:t xml:space="preserve">), </w:t>
      </w:r>
      <w:r w:rsidR="00EB4295" w:rsidRPr="00011925">
        <w:t xml:space="preserve">however </w:t>
      </w:r>
      <w:r w:rsidR="00860083" w:rsidRPr="00011925">
        <w:t>previous evaluation demonstrated modest</w:t>
      </w:r>
      <w:r w:rsidR="00465EEB" w:rsidRPr="00011925">
        <w:t xml:space="preserve"> </w:t>
      </w:r>
      <w:r w:rsidR="001828E2" w:rsidRPr="00011925">
        <w:t>weight loss</w:t>
      </w:r>
      <w:r w:rsidR="00FF14FD" w:rsidRPr="00011925">
        <w:rPr>
          <w:vertAlign w:val="superscript"/>
        </w:rPr>
        <w:t>2</w:t>
      </w:r>
      <w:r w:rsidR="005B013A" w:rsidRPr="00011925">
        <w:rPr>
          <w:vertAlign w:val="superscript"/>
        </w:rPr>
        <w:t>5</w:t>
      </w:r>
      <w:r w:rsidR="001828E2" w:rsidRPr="00011925">
        <w:t xml:space="preserve"> and</w:t>
      </w:r>
      <w:r w:rsidR="002375DA" w:rsidRPr="00011925">
        <w:t xml:space="preserve"> body mass index</w:t>
      </w:r>
      <w:r w:rsidR="0091349D" w:rsidRPr="00011925">
        <w:t xml:space="preserve"> </w:t>
      </w:r>
      <w:r w:rsidR="002375DA" w:rsidRPr="00011925">
        <w:t>(</w:t>
      </w:r>
      <w:r w:rsidR="00C5654E" w:rsidRPr="00011925">
        <w:t>BMI</w:t>
      </w:r>
      <w:r w:rsidR="002375DA" w:rsidRPr="00011925">
        <w:t>)</w:t>
      </w:r>
      <w:r w:rsidR="00C5654E" w:rsidRPr="00011925">
        <w:t xml:space="preserve"> &gt;30 </w:t>
      </w:r>
      <w:r w:rsidR="0091349D" w:rsidRPr="00011925">
        <w:t>kg/m</w:t>
      </w:r>
      <w:r w:rsidR="0091349D" w:rsidRPr="00011925">
        <w:rPr>
          <w:vertAlign w:val="superscript"/>
        </w:rPr>
        <w:t>2</w:t>
      </w:r>
      <w:r w:rsidR="0091349D" w:rsidRPr="00011925">
        <w:t xml:space="preserve"> </w:t>
      </w:r>
      <w:r w:rsidR="00AD497E" w:rsidRPr="00011925">
        <w:t xml:space="preserve">was negatively associated with </w:t>
      </w:r>
      <w:r w:rsidR="0091349D" w:rsidRPr="00011925">
        <w:t>adherence</w:t>
      </w:r>
      <w:r w:rsidR="00FF14FD" w:rsidRPr="00011925">
        <w:t>.</w:t>
      </w:r>
      <w:r w:rsidR="00FF14FD" w:rsidRPr="00011925">
        <w:rPr>
          <w:vertAlign w:val="superscript"/>
        </w:rPr>
        <w:t>2</w:t>
      </w:r>
      <w:r w:rsidR="005B013A" w:rsidRPr="00011925">
        <w:rPr>
          <w:vertAlign w:val="superscript"/>
        </w:rPr>
        <w:t>6</w:t>
      </w:r>
      <w:r w:rsidR="00017DAD" w:rsidRPr="00011925">
        <w:t xml:space="preserve"> </w:t>
      </w:r>
      <w:r w:rsidRPr="00011925">
        <w:t xml:space="preserve">Thus </w:t>
      </w:r>
      <w:r w:rsidR="00425835" w:rsidRPr="00011925">
        <w:t>‘</w:t>
      </w:r>
      <w:r w:rsidRPr="00011925">
        <w:rPr>
          <w:rFonts w:eastAsia="MS PGothic"/>
        </w:rPr>
        <w:t>Momenta</w:t>
      </w:r>
      <w:r w:rsidR="00425835" w:rsidRPr="00011925">
        <w:rPr>
          <w:rFonts w:eastAsia="MS PGothic"/>
        </w:rPr>
        <w:t>’</w:t>
      </w:r>
      <w:r w:rsidR="001D03C1" w:rsidRPr="00011925">
        <w:rPr>
          <w:rFonts w:eastAsia="MS PGothic"/>
        </w:rPr>
        <w:t xml:space="preserve"> </w:t>
      </w:r>
      <w:r w:rsidRPr="00011925">
        <w:rPr>
          <w:rFonts w:eastAsia="MS PGothic"/>
        </w:rPr>
        <w:t xml:space="preserve">was commissioned for </w:t>
      </w:r>
      <w:r w:rsidR="00425835" w:rsidRPr="00011925">
        <w:rPr>
          <w:rFonts w:eastAsia="MS PGothic"/>
        </w:rPr>
        <w:t xml:space="preserve">local </w:t>
      </w:r>
      <w:r w:rsidRPr="00011925">
        <w:rPr>
          <w:rFonts w:eastAsia="MS PGothic"/>
        </w:rPr>
        <w:t xml:space="preserve">adaptation and delivery. </w:t>
      </w:r>
      <w:r w:rsidR="00B45205" w:rsidRPr="00011925">
        <w:rPr>
          <w:rFonts w:eastAsia="MS PGothic"/>
        </w:rPr>
        <w:t xml:space="preserve">The </w:t>
      </w:r>
      <w:r w:rsidR="00E9313F" w:rsidRPr="00011925">
        <w:t xml:space="preserve">Momenta </w:t>
      </w:r>
      <w:r w:rsidR="00860083" w:rsidRPr="00011925">
        <w:t>programme</w:t>
      </w:r>
      <w:r w:rsidR="001567A3" w:rsidRPr="00011925">
        <w:t xml:space="preserve"> incorporat</w:t>
      </w:r>
      <w:r w:rsidR="00B45205" w:rsidRPr="00011925">
        <w:t>es</w:t>
      </w:r>
      <w:r w:rsidR="001567A3" w:rsidRPr="00011925">
        <w:t xml:space="preserve"> evidence-based behaviour change techniques</w:t>
      </w:r>
      <w:r w:rsidR="00B45205" w:rsidRPr="00011925">
        <w:t xml:space="preserve"> and </w:t>
      </w:r>
      <w:r w:rsidR="001567A3" w:rsidRPr="00011925">
        <w:t xml:space="preserve">is </w:t>
      </w:r>
      <w:r w:rsidR="00E9313F" w:rsidRPr="00011925">
        <w:t>designed to be delivered by fitness professionals in a leisure environment</w:t>
      </w:r>
      <w:r w:rsidR="00FF14FD" w:rsidRPr="00011925">
        <w:t>.</w:t>
      </w:r>
      <w:r w:rsidR="00FF14FD" w:rsidRPr="00011925">
        <w:rPr>
          <w:vertAlign w:val="superscript"/>
        </w:rPr>
        <w:t>2</w:t>
      </w:r>
      <w:r w:rsidR="005B013A" w:rsidRPr="00011925">
        <w:rPr>
          <w:vertAlign w:val="superscript"/>
        </w:rPr>
        <w:t>4</w:t>
      </w:r>
      <w:r w:rsidR="00590500" w:rsidRPr="00011925">
        <w:t xml:space="preserve"> </w:t>
      </w:r>
      <w:r w:rsidR="00BF456F" w:rsidRPr="00011925">
        <w:rPr>
          <w:rFonts w:eastAsia="MS PGothic"/>
        </w:rPr>
        <w:t xml:space="preserve">Developed by </w:t>
      </w:r>
      <w:r w:rsidR="009F7306" w:rsidRPr="00011925">
        <w:rPr>
          <w:rFonts w:eastAsia="MS PGothic"/>
        </w:rPr>
        <w:t xml:space="preserve">the </w:t>
      </w:r>
      <w:r w:rsidR="00BF456F" w:rsidRPr="00011925">
        <w:t>MEND childhood weight management programme</w:t>
      </w:r>
      <w:r w:rsidR="00FF14FD" w:rsidRPr="00011925">
        <w:rPr>
          <w:vertAlign w:val="superscript"/>
        </w:rPr>
        <w:t>2</w:t>
      </w:r>
      <w:r w:rsidR="005B013A" w:rsidRPr="00011925">
        <w:rPr>
          <w:vertAlign w:val="superscript"/>
        </w:rPr>
        <w:t>7</w:t>
      </w:r>
      <w:r w:rsidR="00590500" w:rsidRPr="00011925">
        <w:t xml:space="preserve"> </w:t>
      </w:r>
      <w:r w:rsidR="00FF14FD" w:rsidRPr="00011925">
        <w:t xml:space="preserve">designers, </w:t>
      </w:r>
      <w:r w:rsidR="00E9313F" w:rsidRPr="00011925">
        <w:t>t</w:t>
      </w:r>
      <w:r w:rsidR="00DB7E64" w:rsidRPr="00011925">
        <w:t>his</w:t>
      </w:r>
      <w:r w:rsidR="00BF456F" w:rsidRPr="00011925">
        <w:t xml:space="preserve"> 12-week programme aims to facilitate weight loss by engagin</w:t>
      </w:r>
      <w:r w:rsidR="00411506" w:rsidRPr="00011925">
        <w:t>g participants</w:t>
      </w:r>
      <w:r w:rsidR="00E536FF" w:rsidRPr="00011925">
        <w:t xml:space="preserve"> </w:t>
      </w:r>
      <w:r w:rsidR="00411506" w:rsidRPr="00011925">
        <w:t xml:space="preserve">in 12 key </w:t>
      </w:r>
      <w:r w:rsidR="00BF456F" w:rsidRPr="00011925">
        <w:t>behaviours broadly encompassing psychology, diet and physical activity</w:t>
      </w:r>
      <w:r w:rsidR="00AD4CBD" w:rsidRPr="00011925">
        <w:t xml:space="preserve"> (supplementary file </w:t>
      </w:r>
      <w:r w:rsidR="00A34A0E" w:rsidRPr="00011925">
        <w:t>1)</w:t>
      </w:r>
      <w:r w:rsidR="00C5654E" w:rsidRPr="00011925">
        <w:t>.</w:t>
      </w:r>
      <w:r w:rsidR="00BF456F" w:rsidRPr="00011925">
        <w:rPr>
          <w:rFonts w:eastAsia="MS PGothic"/>
        </w:rPr>
        <w:t xml:space="preserve"> </w:t>
      </w:r>
      <w:r w:rsidR="00B33A13" w:rsidRPr="00011925">
        <w:rPr>
          <w:rFonts w:eastAsia="MS PGothic"/>
        </w:rPr>
        <w:t xml:space="preserve">Briefly, </w:t>
      </w:r>
      <w:r w:rsidR="001567A3" w:rsidRPr="00011925">
        <w:rPr>
          <w:rFonts w:eastAsia="MS PGothic"/>
        </w:rPr>
        <w:t>Momenta sessions explore</w:t>
      </w:r>
      <w:r w:rsidR="00C81D99" w:rsidRPr="00011925">
        <w:rPr>
          <w:rFonts w:eastAsia="MS PGothic"/>
        </w:rPr>
        <w:t>d</w:t>
      </w:r>
      <w:r w:rsidR="001567A3" w:rsidRPr="00011925">
        <w:rPr>
          <w:rFonts w:eastAsia="MS PGothic"/>
        </w:rPr>
        <w:t xml:space="preserve"> topics using interactive and experiential learning techniques including brainstorming, group activities and discussion, quizzes and games. At the end of each session, participants set goals focusing on one of the </w:t>
      </w:r>
      <w:r w:rsidR="00C81D99" w:rsidRPr="00011925">
        <w:rPr>
          <w:rFonts w:eastAsia="MS PGothic"/>
        </w:rPr>
        <w:t xml:space="preserve">12 </w:t>
      </w:r>
      <w:r w:rsidR="001567A3" w:rsidRPr="00011925">
        <w:rPr>
          <w:rFonts w:eastAsia="MS PGothic"/>
        </w:rPr>
        <w:t xml:space="preserve">key behaviours. </w:t>
      </w:r>
      <w:r w:rsidR="00C81D99" w:rsidRPr="00011925">
        <w:rPr>
          <w:rFonts w:eastAsia="MS PGothic"/>
        </w:rPr>
        <w:t>At the beginning of each session, the group discussed the previous weeks’ goals by exchanging stories and brainstorming challenges. All interventions were</w:t>
      </w:r>
      <w:r w:rsidR="00860083" w:rsidRPr="00011925">
        <w:rPr>
          <w:rFonts w:eastAsia="MS PGothic"/>
        </w:rPr>
        <w:t xml:space="preserve"> </w:t>
      </w:r>
      <w:r w:rsidR="0038090F" w:rsidRPr="00011925">
        <w:rPr>
          <w:rFonts w:eastAsia="MS PGothic"/>
        </w:rPr>
        <w:t xml:space="preserve">free to </w:t>
      </w:r>
      <w:r w:rsidR="00491177" w:rsidRPr="00011925">
        <w:rPr>
          <w:rFonts w:eastAsia="MS PGothic"/>
        </w:rPr>
        <w:t>service users</w:t>
      </w:r>
      <w:r w:rsidR="00DE103C" w:rsidRPr="00011925">
        <w:rPr>
          <w:rFonts w:eastAsia="MS PGothic"/>
        </w:rPr>
        <w:t>.</w:t>
      </w:r>
      <w:r w:rsidR="0038090F" w:rsidRPr="00011925">
        <w:rPr>
          <w:rFonts w:eastAsia="MS PGothic"/>
        </w:rPr>
        <w:t xml:space="preserve"> </w:t>
      </w:r>
    </w:p>
    <w:p w14:paraId="07CFC204" w14:textId="77777777" w:rsidR="00143C80" w:rsidRPr="00011925" w:rsidRDefault="00143C80" w:rsidP="00544B2D">
      <w:pPr>
        <w:kinsoku w:val="0"/>
        <w:overflowPunct w:val="0"/>
        <w:spacing w:line="480" w:lineRule="auto"/>
        <w:textAlignment w:val="baseline"/>
      </w:pPr>
    </w:p>
    <w:p w14:paraId="0787C4CA" w14:textId="31FCBEC6" w:rsidR="001A124A" w:rsidRPr="00011925" w:rsidRDefault="00491177" w:rsidP="00544B2D">
      <w:pPr>
        <w:kinsoku w:val="0"/>
        <w:overflowPunct w:val="0"/>
        <w:spacing w:line="480" w:lineRule="auto"/>
        <w:textAlignment w:val="baseline"/>
      </w:pPr>
      <w:r w:rsidRPr="00011925">
        <w:t>T</w:t>
      </w:r>
      <w:r w:rsidR="00AA4DDD" w:rsidRPr="00011925">
        <w:t xml:space="preserve">he </w:t>
      </w:r>
      <w:r w:rsidR="004C28E4" w:rsidRPr="00011925">
        <w:t xml:space="preserve">local </w:t>
      </w:r>
      <w:r w:rsidR="00E911B3" w:rsidRPr="00011925">
        <w:t>L</w:t>
      </w:r>
      <w:r w:rsidR="004C28E4" w:rsidRPr="00011925">
        <w:t xml:space="preserve">eisure </w:t>
      </w:r>
      <w:r w:rsidR="00E911B3" w:rsidRPr="00011925">
        <w:t>T</w:t>
      </w:r>
      <w:r w:rsidR="004C28E4" w:rsidRPr="00011925">
        <w:t xml:space="preserve">rust </w:t>
      </w:r>
      <w:proofErr w:type="gramStart"/>
      <w:r w:rsidRPr="00011925">
        <w:t>was commissioned</w:t>
      </w:r>
      <w:proofErr w:type="gramEnd"/>
      <w:r w:rsidRPr="00011925">
        <w:t xml:space="preserve"> </w:t>
      </w:r>
      <w:r w:rsidR="004C28E4" w:rsidRPr="00011925">
        <w:t xml:space="preserve">to deliver </w:t>
      </w:r>
      <w:r w:rsidR="000F3600" w:rsidRPr="00011925">
        <w:t xml:space="preserve">a pilot </w:t>
      </w:r>
      <w:r w:rsidR="004C28E4" w:rsidRPr="00011925">
        <w:t>Momenta</w:t>
      </w:r>
      <w:r w:rsidR="00135F7B" w:rsidRPr="00011925">
        <w:t xml:space="preserve"> programme</w:t>
      </w:r>
      <w:r w:rsidR="00143C80" w:rsidRPr="00011925">
        <w:t xml:space="preserve">. </w:t>
      </w:r>
      <w:r w:rsidR="00146BA7" w:rsidRPr="00011925">
        <w:t xml:space="preserve">Commissioners and providers had ideas about alternative delivery options and due to an established academic </w:t>
      </w:r>
      <w:r w:rsidR="003808A0" w:rsidRPr="00011925">
        <w:t>relationship</w:t>
      </w:r>
      <w:r w:rsidR="00146BA7" w:rsidRPr="00011925">
        <w:t xml:space="preserve">, asked the study team for advice about robust evaluation </w:t>
      </w:r>
      <w:r w:rsidR="003808A0" w:rsidRPr="00011925">
        <w:t>that would</w:t>
      </w:r>
      <w:r w:rsidR="00146BA7" w:rsidRPr="00011925">
        <w:t xml:space="preserve"> allow for feedback</w:t>
      </w:r>
      <w:r w:rsidR="003808A0" w:rsidRPr="00011925">
        <w:t xml:space="preserve"> </w:t>
      </w:r>
      <w:r w:rsidR="00146BA7" w:rsidRPr="00011925">
        <w:t xml:space="preserve">in real time and at the end of the pilot. </w:t>
      </w:r>
      <w:r w:rsidR="00143C80" w:rsidRPr="00011925">
        <w:t xml:space="preserve">Stakeholder </w:t>
      </w:r>
      <w:r w:rsidR="00F54182" w:rsidRPr="00011925">
        <w:t xml:space="preserve">meetings </w:t>
      </w:r>
      <w:r w:rsidR="002E12BE" w:rsidRPr="00011925">
        <w:t xml:space="preserve">were held </w:t>
      </w:r>
      <w:r w:rsidR="00726AA6" w:rsidRPr="00011925">
        <w:t>with</w:t>
      </w:r>
      <w:r w:rsidR="00AA4DDD" w:rsidRPr="00011925">
        <w:t xml:space="preserve"> </w:t>
      </w:r>
      <w:r w:rsidR="0018786B" w:rsidRPr="00011925">
        <w:t xml:space="preserve">Public Health staff (n=2), </w:t>
      </w:r>
      <w:r w:rsidR="00E911B3" w:rsidRPr="00011925">
        <w:t>L</w:t>
      </w:r>
      <w:r w:rsidR="00AA4DDD" w:rsidRPr="00011925">
        <w:t xml:space="preserve">eisure </w:t>
      </w:r>
      <w:r w:rsidR="00E911B3" w:rsidRPr="00011925">
        <w:t>T</w:t>
      </w:r>
      <w:r w:rsidR="00AA4DDD" w:rsidRPr="00011925">
        <w:t>rust manage</w:t>
      </w:r>
      <w:r w:rsidR="00023FB5" w:rsidRPr="00011925">
        <w:t>rs</w:t>
      </w:r>
      <w:r w:rsidR="003808A0" w:rsidRPr="00011925">
        <w:t xml:space="preserve"> (n=</w:t>
      </w:r>
      <w:r w:rsidR="0018786B" w:rsidRPr="00011925">
        <w:t>3</w:t>
      </w:r>
      <w:r w:rsidR="003808A0" w:rsidRPr="00011925">
        <w:t>)</w:t>
      </w:r>
      <w:r w:rsidRPr="00011925">
        <w:t xml:space="preserve">, </w:t>
      </w:r>
      <w:r w:rsidR="00023FB5" w:rsidRPr="00011925">
        <w:t xml:space="preserve">delivery staff </w:t>
      </w:r>
      <w:r w:rsidR="003808A0" w:rsidRPr="00011925">
        <w:t xml:space="preserve">(n=2) </w:t>
      </w:r>
      <w:r w:rsidR="00023FB5" w:rsidRPr="00011925">
        <w:t xml:space="preserve">and </w:t>
      </w:r>
      <w:r w:rsidR="00E9313F" w:rsidRPr="00011925">
        <w:t xml:space="preserve">Momenta </w:t>
      </w:r>
      <w:r w:rsidR="00E911B3" w:rsidRPr="00011925">
        <w:t xml:space="preserve">programme </w:t>
      </w:r>
      <w:r w:rsidR="00E9313F" w:rsidRPr="00011925">
        <w:t>developers</w:t>
      </w:r>
      <w:r w:rsidR="003808A0" w:rsidRPr="00011925">
        <w:t xml:space="preserve"> (n=2)</w:t>
      </w:r>
      <w:r w:rsidR="00023FB5" w:rsidRPr="00011925">
        <w:t>.</w:t>
      </w:r>
      <w:r w:rsidR="00715E10" w:rsidRPr="00011925">
        <w:t xml:space="preserve"> </w:t>
      </w:r>
      <w:r w:rsidR="00287E6D" w:rsidRPr="00011925">
        <w:t>As part of the prototyping process, m</w:t>
      </w:r>
      <w:r w:rsidR="002E12BE" w:rsidRPr="00011925">
        <w:t xml:space="preserve">embers of the evaluation team </w:t>
      </w:r>
      <w:r w:rsidR="00011393" w:rsidRPr="00011925">
        <w:t xml:space="preserve">(CDR, EO) </w:t>
      </w:r>
      <w:r w:rsidR="002F6F17" w:rsidRPr="00011925">
        <w:t>provide</w:t>
      </w:r>
      <w:r w:rsidR="00011393" w:rsidRPr="00011925">
        <w:t>d</w:t>
      </w:r>
      <w:r w:rsidR="002E12BE" w:rsidRPr="00011925">
        <w:t xml:space="preserve"> guidance on evaluation design</w:t>
      </w:r>
      <w:r w:rsidR="00860083" w:rsidRPr="00011925">
        <w:t xml:space="preserve"> and light </w:t>
      </w:r>
      <w:r w:rsidR="002F6F17" w:rsidRPr="00011925">
        <w:t xml:space="preserve">touch advice about tools </w:t>
      </w:r>
      <w:r w:rsidRPr="00011925">
        <w:t>to</w:t>
      </w:r>
      <w:r w:rsidR="002F6F17" w:rsidRPr="00011925">
        <w:t xml:space="preserve"> explore </w:t>
      </w:r>
      <w:r w:rsidR="00E20A4E" w:rsidRPr="00011925">
        <w:t xml:space="preserve">preliminary </w:t>
      </w:r>
      <w:r w:rsidR="002F6F17" w:rsidRPr="00011925">
        <w:t>effectiveness</w:t>
      </w:r>
      <w:r w:rsidR="002E12BE" w:rsidRPr="00011925">
        <w:t>.</w:t>
      </w:r>
      <w:r w:rsidR="00AA4DDD" w:rsidRPr="00011925">
        <w:t xml:space="preserve">  </w:t>
      </w:r>
      <w:r w:rsidRPr="00011925">
        <w:t>T</w:t>
      </w:r>
      <w:r w:rsidR="002E12BE" w:rsidRPr="00011925">
        <w:t xml:space="preserve">he evaluation </w:t>
      </w:r>
      <w:proofErr w:type="gramStart"/>
      <w:r w:rsidR="002E12BE" w:rsidRPr="00011925">
        <w:t xml:space="preserve">was </w:t>
      </w:r>
      <w:r w:rsidRPr="00011925">
        <w:t xml:space="preserve">thus </w:t>
      </w:r>
      <w:r w:rsidR="002E12BE" w:rsidRPr="00011925">
        <w:t>co-produced</w:t>
      </w:r>
      <w:proofErr w:type="gramEnd"/>
      <w:r w:rsidR="002E12BE" w:rsidRPr="00011925">
        <w:t xml:space="preserve"> to ensure a robust framework, </w:t>
      </w:r>
      <w:r w:rsidR="004D0209" w:rsidRPr="00011925">
        <w:t xml:space="preserve">whilst meeting </w:t>
      </w:r>
      <w:r w:rsidR="00F54182" w:rsidRPr="00011925">
        <w:t xml:space="preserve">strategic </w:t>
      </w:r>
      <w:r w:rsidR="00A94D9F" w:rsidRPr="00011925">
        <w:t>local</w:t>
      </w:r>
      <w:r w:rsidR="00F54182" w:rsidRPr="00011925">
        <w:t xml:space="preserve"> </w:t>
      </w:r>
      <w:r w:rsidR="00A94D9F" w:rsidRPr="00011925">
        <w:t>needs</w:t>
      </w:r>
      <w:r w:rsidR="004D0209" w:rsidRPr="00011925">
        <w:t>.</w:t>
      </w:r>
      <w:r w:rsidR="005E3136" w:rsidRPr="00011925">
        <w:t xml:space="preserve"> For example, c</w:t>
      </w:r>
      <w:r w:rsidR="006041D7" w:rsidRPr="00011925">
        <w:t xml:space="preserve">ommissioners were concerned about </w:t>
      </w:r>
      <w:r w:rsidRPr="00011925">
        <w:t xml:space="preserve">meeting </w:t>
      </w:r>
      <w:r w:rsidR="006041D7" w:rsidRPr="00011925">
        <w:t xml:space="preserve">recruitment targets for </w:t>
      </w:r>
      <w:r w:rsidRPr="00011925">
        <w:t>an existing</w:t>
      </w:r>
      <w:r w:rsidR="006041D7" w:rsidRPr="00011925">
        <w:t xml:space="preserve"> </w:t>
      </w:r>
      <w:r w:rsidR="00B64DDC" w:rsidRPr="00011925">
        <w:t xml:space="preserve">specialist </w:t>
      </w:r>
      <w:r w:rsidR="006041D7" w:rsidRPr="00011925">
        <w:t>weight management service</w:t>
      </w:r>
      <w:r w:rsidRPr="00011925">
        <w:t xml:space="preserve"> </w:t>
      </w:r>
      <w:r w:rsidR="00C81D99" w:rsidRPr="00011925">
        <w:t xml:space="preserve">used mainly </w:t>
      </w:r>
      <w:r w:rsidRPr="00011925">
        <w:t>for pre-bariatric patients</w:t>
      </w:r>
      <w:r w:rsidR="00A41A60" w:rsidRPr="00011925">
        <w:t xml:space="preserve"> and</w:t>
      </w:r>
      <w:r w:rsidR="006041D7" w:rsidRPr="00011925">
        <w:t xml:space="preserve"> Momenta was initially commissioned for patients </w:t>
      </w:r>
      <w:r w:rsidR="00CA7B8A" w:rsidRPr="00011925">
        <w:t xml:space="preserve">with </w:t>
      </w:r>
      <w:r w:rsidR="006041D7" w:rsidRPr="00011925">
        <w:t>BMI 25.0-29.9 kg/m</w:t>
      </w:r>
      <w:r w:rsidR="006041D7" w:rsidRPr="00011925">
        <w:rPr>
          <w:vertAlign w:val="superscript"/>
        </w:rPr>
        <w:t>2</w:t>
      </w:r>
      <w:r w:rsidR="00F8186B" w:rsidRPr="00011925">
        <w:t>,</w:t>
      </w:r>
      <w:r w:rsidR="00747346" w:rsidRPr="00011925">
        <w:t xml:space="preserve"> although this was </w:t>
      </w:r>
      <w:r w:rsidR="000F3600" w:rsidRPr="00011925">
        <w:t xml:space="preserve">later </w:t>
      </w:r>
      <w:r w:rsidR="00747346" w:rsidRPr="00011925">
        <w:t>amended</w:t>
      </w:r>
      <w:r w:rsidR="006041D7" w:rsidRPr="00011925">
        <w:t xml:space="preserve">.  Furthermore, </w:t>
      </w:r>
      <w:r w:rsidR="00111C5C" w:rsidRPr="00011925">
        <w:t xml:space="preserve">commissioners were keen to consider accessibility </w:t>
      </w:r>
      <w:r w:rsidR="000F4632" w:rsidRPr="00011925">
        <w:t xml:space="preserve">of provision </w:t>
      </w:r>
      <w:r w:rsidR="00111C5C" w:rsidRPr="00011925">
        <w:t xml:space="preserve">and </w:t>
      </w:r>
      <w:r w:rsidR="000F4632" w:rsidRPr="00011925">
        <w:t xml:space="preserve">wished </w:t>
      </w:r>
      <w:r w:rsidR="00111C5C" w:rsidRPr="00011925">
        <w:t>to explore</w:t>
      </w:r>
      <w:r w:rsidR="000F4632" w:rsidRPr="00011925">
        <w:t xml:space="preserve"> </w:t>
      </w:r>
      <w:r w:rsidR="000F3600" w:rsidRPr="00011925">
        <w:t xml:space="preserve">offering </w:t>
      </w:r>
      <w:r w:rsidR="00187186" w:rsidRPr="00011925">
        <w:t xml:space="preserve">free gym, swimming and fitness </w:t>
      </w:r>
      <w:r w:rsidR="000F3600" w:rsidRPr="00011925">
        <w:t>class membership</w:t>
      </w:r>
      <w:r w:rsidR="000F4632" w:rsidRPr="00011925">
        <w:t xml:space="preserve">. </w:t>
      </w:r>
      <w:r w:rsidR="00187186" w:rsidRPr="00011925">
        <w:t xml:space="preserve">The evaluation </w:t>
      </w:r>
      <w:proofErr w:type="gramStart"/>
      <w:r w:rsidR="00187186" w:rsidRPr="00011925">
        <w:t>was designed</w:t>
      </w:r>
      <w:proofErr w:type="gramEnd"/>
      <w:r w:rsidR="00187186" w:rsidRPr="00011925">
        <w:t xml:space="preserve"> to accommodate this.</w:t>
      </w:r>
    </w:p>
    <w:p w14:paraId="4805F799" w14:textId="77777777" w:rsidR="001515C9" w:rsidRPr="00011925" w:rsidRDefault="001515C9" w:rsidP="001515C9">
      <w:pPr>
        <w:kinsoku w:val="0"/>
        <w:overflowPunct w:val="0"/>
        <w:spacing w:line="480" w:lineRule="auto"/>
        <w:ind w:firstLine="720"/>
        <w:textAlignment w:val="baseline"/>
      </w:pPr>
    </w:p>
    <w:p w14:paraId="7C4342F6" w14:textId="15D2DB72" w:rsidR="00917709" w:rsidRPr="00520C7C" w:rsidRDefault="00012BB4" w:rsidP="00544B2D">
      <w:pPr>
        <w:kinsoku w:val="0"/>
        <w:overflowPunct w:val="0"/>
        <w:spacing w:line="480" w:lineRule="auto"/>
        <w:textAlignment w:val="baseline"/>
        <w:rPr>
          <w:rFonts w:eastAsia="MS PGothic"/>
        </w:rPr>
      </w:pPr>
      <w:r w:rsidRPr="00011925">
        <w:t>The programme</w:t>
      </w:r>
      <w:r w:rsidR="00D15029" w:rsidRPr="00011925">
        <w:t xml:space="preserve"> </w:t>
      </w:r>
      <w:proofErr w:type="gramStart"/>
      <w:r w:rsidR="00957032" w:rsidRPr="00011925">
        <w:t xml:space="preserve">was </w:t>
      </w:r>
      <w:r w:rsidR="00147FDE" w:rsidRPr="00011925">
        <w:t xml:space="preserve">ultimately </w:t>
      </w:r>
      <w:r w:rsidR="00E9313F" w:rsidRPr="00011925">
        <w:t>delivered</w:t>
      </w:r>
      <w:proofErr w:type="gramEnd"/>
      <w:r w:rsidR="00957032" w:rsidRPr="00011925">
        <w:t xml:space="preserve"> at two leisure sites situated within the </w:t>
      </w:r>
      <w:r w:rsidR="0073360F" w:rsidRPr="00011925">
        <w:t>2</w:t>
      </w:r>
      <w:r w:rsidR="00957032" w:rsidRPr="00011925">
        <w:t>0% and 50% most deprived neighbourhoods in the count</w:t>
      </w:r>
      <w:r w:rsidR="000F3600" w:rsidRPr="00011925">
        <w:t>r</w:t>
      </w:r>
      <w:r w:rsidR="00957032" w:rsidRPr="00011925">
        <w:t>y.</w:t>
      </w:r>
      <w:r w:rsidR="00E9313F" w:rsidRPr="00011925">
        <w:t xml:space="preserve"> </w:t>
      </w:r>
      <w:r w:rsidR="00957032" w:rsidRPr="00011925">
        <w:rPr>
          <w:rFonts w:eastAsia="MS PGothic"/>
        </w:rPr>
        <w:t xml:space="preserve">Six </w:t>
      </w:r>
      <w:r w:rsidR="0089721B" w:rsidRPr="00011925">
        <w:rPr>
          <w:rFonts w:eastAsia="MS PGothic"/>
        </w:rPr>
        <w:t>General Practice (</w:t>
      </w:r>
      <w:r w:rsidR="00957032" w:rsidRPr="00011925">
        <w:rPr>
          <w:rFonts w:eastAsia="MS PGothic"/>
        </w:rPr>
        <w:t>GP</w:t>
      </w:r>
      <w:r w:rsidR="0089721B" w:rsidRPr="00011925">
        <w:rPr>
          <w:rFonts w:eastAsia="MS PGothic"/>
        </w:rPr>
        <w:t>)</w:t>
      </w:r>
      <w:r w:rsidR="00957032" w:rsidRPr="00011925">
        <w:rPr>
          <w:rFonts w:eastAsia="MS PGothic"/>
        </w:rPr>
        <w:t xml:space="preserve"> surgeries</w:t>
      </w:r>
      <w:r w:rsidR="00354704" w:rsidRPr="00011925">
        <w:rPr>
          <w:rFonts w:eastAsia="MS PGothic"/>
        </w:rPr>
        <w:t xml:space="preserve">, identified as </w:t>
      </w:r>
      <w:r w:rsidR="000F3600" w:rsidRPr="00011925">
        <w:rPr>
          <w:rFonts w:eastAsia="MS PGothic"/>
        </w:rPr>
        <w:t>the best referrers</w:t>
      </w:r>
      <w:r w:rsidR="00D15029" w:rsidRPr="00011925">
        <w:rPr>
          <w:rFonts w:eastAsia="MS PGothic"/>
        </w:rPr>
        <w:t xml:space="preserve"> </w:t>
      </w:r>
      <w:r w:rsidR="00957032" w:rsidRPr="00011925">
        <w:rPr>
          <w:rFonts w:eastAsia="MS PGothic"/>
        </w:rPr>
        <w:t xml:space="preserve">to the </w:t>
      </w:r>
      <w:r w:rsidR="00354704" w:rsidRPr="00011925">
        <w:rPr>
          <w:rFonts w:eastAsia="MS PGothic"/>
        </w:rPr>
        <w:t>existing</w:t>
      </w:r>
      <w:r w:rsidR="00514D41" w:rsidRPr="00011925">
        <w:rPr>
          <w:rFonts w:eastAsia="MS PGothic"/>
        </w:rPr>
        <w:t xml:space="preserve"> </w:t>
      </w:r>
      <w:r w:rsidR="00957032" w:rsidRPr="00011925">
        <w:rPr>
          <w:rFonts w:eastAsia="MS PGothic"/>
        </w:rPr>
        <w:t>ERS</w:t>
      </w:r>
      <w:r w:rsidR="00354704" w:rsidRPr="00011925">
        <w:rPr>
          <w:rFonts w:eastAsia="MS PGothic"/>
        </w:rPr>
        <w:t xml:space="preserve">, </w:t>
      </w:r>
      <w:proofErr w:type="gramStart"/>
      <w:r w:rsidR="00957032" w:rsidRPr="00011925">
        <w:rPr>
          <w:rFonts w:eastAsia="MS PGothic"/>
        </w:rPr>
        <w:t xml:space="preserve">were </w:t>
      </w:r>
      <w:r w:rsidR="00354704" w:rsidRPr="00011925">
        <w:rPr>
          <w:rFonts w:eastAsia="MS PGothic"/>
        </w:rPr>
        <w:t>asked</w:t>
      </w:r>
      <w:proofErr w:type="gramEnd"/>
      <w:r w:rsidR="00957032" w:rsidRPr="00011925">
        <w:rPr>
          <w:rFonts w:eastAsia="MS PGothic"/>
        </w:rPr>
        <w:t xml:space="preserve"> to refer </w:t>
      </w:r>
      <w:r w:rsidR="00354704" w:rsidRPr="00011925">
        <w:rPr>
          <w:rFonts w:eastAsia="MS PGothic"/>
        </w:rPr>
        <w:t xml:space="preserve">suitable </w:t>
      </w:r>
      <w:r w:rsidR="00D15029" w:rsidRPr="00011925">
        <w:rPr>
          <w:rFonts w:eastAsia="MS PGothic"/>
        </w:rPr>
        <w:t>patients</w:t>
      </w:r>
      <w:r w:rsidR="00354704" w:rsidRPr="00011925">
        <w:rPr>
          <w:rFonts w:eastAsia="MS PGothic"/>
        </w:rPr>
        <w:t xml:space="preserve"> to Momenta</w:t>
      </w:r>
      <w:r w:rsidR="009C6D97" w:rsidRPr="00011925">
        <w:rPr>
          <w:rFonts w:eastAsia="MS PGothic"/>
        </w:rPr>
        <w:t>. The programme</w:t>
      </w:r>
      <w:r w:rsidR="00957032" w:rsidRPr="00011925">
        <w:rPr>
          <w:rFonts w:eastAsia="MS PGothic"/>
        </w:rPr>
        <w:t xml:space="preserve"> manager </w:t>
      </w:r>
      <w:r w:rsidR="00894513" w:rsidRPr="00011925">
        <w:rPr>
          <w:rFonts w:eastAsia="MS PGothic"/>
        </w:rPr>
        <w:t xml:space="preserve">and </w:t>
      </w:r>
      <w:r w:rsidR="00D630E4" w:rsidRPr="00011925">
        <w:rPr>
          <w:rFonts w:eastAsia="MS PGothic"/>
        </w:rPr>
        <w:t>the</w:t>
      </w:r>
      <w:r w:rsidR="00894513" w:rsidRPr="00011925">
        <w:rPr>
          <w:rFonts w:eastAsia="MS PGothic"/>
        </w:rPr>
        <w:t xml:space="preserve"> public health </w:t>
      </w:r>
      <w:r w:rsidR="00D630E4" w:rsidRPr="00011925">
        <w:rPr>
          <w:rFonts w:eastAsia="MS PGothic"/>
        </w:rPr>
        <w:t>improvement manager</w:t>
      </w:r>
      <w:r w:rsidR="00894513" w:rsidRPr="00011925">
        <w:rPr>
          <w:rFonts w:eastAsia="MS PGothic"/>
        </w:rPr>
        <w:t xml:space="preserve"> </w:t>
      </w:r>
      <w:r w:rsidR="009124E6" w:rsidRPr="00011925">
        <w:rPr>
          <w:rFonts w:eastAsia="MS PGothic"/>
        </w:rPr>
        <w:t xml:space="preserve">(LN) </w:t>
      </w:r>
      <w:r w:rsidR="00957032" w:rsidRPr="00011925">
        <w:rPr>
          <w:rFonts w:eastAsia="MS PGothic"/>
        </w:rPr>
        <w:t xml:space="preserve">attended practice meetings to articulate referral </w:t>
      </w:r>
      <w:r w:rsidR="00957032" w:rsidRPr="00520C7C">
        <w:rPr>
          <w:rFonts w:eastAsia="MS PGothic"/>
        </w:rPr>
        <w:t xml:space="preserve">criteria and disseminate advertising materials.  </w:t>
      </w:r>
      <w:r w:rsidR="00AC57DA" w:rsidRPr="00520C7C">
        <w:rPr>
          <w:rFonts w:eastAsia="MS PGothic"/>
        </w:rPr>
        <w:t>Attendance varied from two to all</w:t>
      </w:r>
      <w:r w:rsidR="00D630E4" w:rsidRPr="00520C7C">
        <w:rPr>
          <w:rFonts w:eastAsia="MS PGothic"/>
        </w:rPr>
        <w:t xml:space="preserve"> practice</w:t>
      </w:r>
      <w:r w:rsidR="00AC57DA" w:rsidRPr="00520C7C">
        <w:rPr>
          <w:rFonts w:eastAsia="MS PGothic"/>
        </w:rPr>
        <w:t xml:space="preserve"> staff, meaning that in some surgeries knowledge of the programme was reliant on dissemination by those who attended. </w:t>
      </w:r>
    </w:p>
    <w:p w14:paraId="2E7449C7" w14:textId="01FE0C00" w:rsidR="00957032" w:rsidRPr="00520C7C" w:rsidRDefault="00957032" w:rsidP="00EB555B">
      <w:pPr>
        <w:kinsoku w:val="0"/>
        <w:overflowPunct w:val="0"/>
        <w:spacing w:line="480" w:lineRule="auto"/>
        <w:textAlignment w:val="baseline"/>
      </w:pPr>
    </w:p>
    <w:p w14:paraId="554CE827" w14:textId="6E9113F8" w:rsidR="00BF0C34" w:rsidRDefault="00CD516E" w:rsidP="00BF0C34">
      <w:pPr>
        <w:spacing w:line="480" w:lineRule="auto"/>
        <w:jc w:val="both"/>
      </w:pPr>
      <w:r w:rsidRPr="00520C7C">
        <w:t xml:space="preserve">A </w:t>
      </w:r>
      <w:r w:rsidR="00E72678" w:rsidRPr="00520C7C">
        <w:t xml:space="preserve">mixed methods </w:t>
      </w:r>
      <w:r w:rsidR="00E72678" w:rsidRPr="00011925">
        <w:t xml:space="preserve">evaluation </w:t>
      </w:r>
      <w:proofErr w:type="gramStart"/>
      <w:r w:rsidR="001515C9" w:rsidRPr="00011925">
        <w:t>was agreed</w:t>
      </w:r>
      <w:proofErr w:type="gramEnd"/>
      <w:r w:rsidR="001515C9" w:rsidRPr="00011925">
        <w:t xml:space="preserve"> between</w:t>
      </w:r>
      <w:r w:rsidR="006E1A5A" w:rsidRPr="00011925">
        <w:t xml:space="preserve"> the evaluation team and commissioners. </w:t>
      </w:r>
      <w:r w:rsidR="00D66B66" w:rsidRPr="00011925">
        <w:t>Q</w:t>
      </w:r>
      <w:r w:rsidR="00E72678" w:rsidRPr="00011925">
        <w:t xml:space="preserve">ualitative </w:t>
      </w:r>
      <w:r w:rsidR="00D66B66" w:rsidRPr="00011925">
        <w:t xml:space="preserve">and quantitative </w:t>
      </w:r>
      <w:r w:rsidR="00E72678" w:rsidRPr="00011925">
        <w:t xml:space="preserve">components </w:t>
      </w:r>
      <w:proofErr w:type="gramStart"/>
      <w:r w:rsidR="00E72678" w:rsidRPr="00011925">
        <w:t>were conducted</w:t>
      </w:r>
      <w:proofErr w:type="gramEnd"/>
      <w:r w:rsidR="00E72678" w:rsidRPr="00011925">
        <w:t xml:space="preserve"> concurrently and had equal status</w:t>
      </w:r>
      <w:r w:rsidR="00FF14FD" w:rsidRPr="00011925">
        <w:t>.</w:t>
      </w:r>
      <w:bookmarkStart w:id="3" w:name="_Hlk9328301"/>
      <w:r w:rsidR="001C40FF" w:rsidRPr="00011925">
        <w:rPr>
          <w:vertAlign w:val="superscript"/>
        </w:rPr>
        <w:t>28</w:t>
      </w:r>
      <w:r w:rsidR="001C40FF" w:rsidRPr="00011925">
        <w:t xml:space="preserve"> Prototyping</w:t>
      </w:r>
      <w:r w:rsidR="00287E6D" w:rsidRPr="00011925">
        <w:t xml:space="preserve"> allowed for iterative changes to be made to the implementation and delivery of the programme in real time</w:t>
      </w:r>
      <w:r w:rsidR="00147FDE" w:rsidRPr="00011925">
        <w:t xml:space="preserve"> and w</w:t>
      </w:r>
      <w:r w:rsidR="00B33A13" w:rsidRPr="00011925">
        <w:t xml:space="preserve">e </w:t>
      </w:r>
      <w:r w:rsidR="00287E6D" w:rsidRPr="00011925">
        <w:t xml:space="preserve">reflect upon </w:t>
      </w:r>
      <w:r w:rsidR="00B33A13" w:rsidRPr="00520C7C">
        <w:t xml:space="preserve">these </w:t>
      </w:r>
      <w:r w:rsidR="00287E6D" w:rsidRPr="00520C7C">
        <w:t>in the results and discussion.</w:t>
      </w:r>
      <w:bookmarkEnd w:id="3"/>
    </w:p>
    <w:p w14:paraId="7DF88AF9" w14:textId="29C0CDE1" w:rsidR="00D66B66" w:rsidRDefault="00D66B66" w:rsidP="00BF0C34">
      <w:pPr>
        <w:spacing w:line="480" w:lineRule="auto"/>
        <w:jc w:val="both"/>
      </w:pPr>
    </w:p>
    <w:p w14:paraId="2777BE57" w14:textId="37CDD2E4" w:rsidR="00D66B66" w:rsidRPr="00D66B66" w:rsidRDefault="00D66B66" w:rsidP="00D66B66">
      <w:pPr>
        <w:kinsoku w:val="0"/>
        <w:overflowPunct w:val="0"/>
        <w:spacing w:line="480" w:lineRule="auto"/>
        <w:textAlignment w:val="baseline"/>
        <w:rPr>
          <w:rFonts w:eastAsia="MS PGothic"/>
        </w:rPr>
      </w:pPr>
      <w:r w:rsidRPr="00D66B66">
        <w:t xml:space="preserve">Referrals by healthcare professionals (HCPs) were via a standardised form to the appropriate leisure site. Prior to programme commencement the Leisure </w:t>
      </w:r>
      <w:proofErr w:type="gramStart"/>
      <w:r w:rsidRPr="00D66B66">
        <w:t>Trust,</w:t>
      </w:r>
      <w:proofErr w:type="gramEnd"/>
      <w:r w:rsidRPr="00D66B66">
        <w:t xml:space="preserve"> in conjunction with the Momenta programme designer and members of the evaluation team, held a training day for delivery staff. Although staff were qualified to deliver Momenta, </w:t>
      </w:r>
      <w:proofErr w:type="gramStart"/>
      <w:r w:rsidRPr="00D66B66">
        <w:t>extra bespoke</w:t>
      </w:r>
      <w:proofErr w:type="gramEnd"/>
      <w:r w:rsidRPr="00D66B66">
        <w:t xml:space="preserve"> training (including role-play scenarios and problem-solving discussions) was delivered by the clinical psychologist who designed Momenta. The evaluation team (CDR, CH) trained delivery staff in international standard anthropometric techniques</w:t>
      </w:r>
      <w:r w:rsidRPr="00D66B66">
        <w:rPr>
          <w:vertAlign w:val="superscript"/>
        </w:rPr>
        <w:t>29</w:t>
      </w:r>
      <w:r w:rsidRPr="00D66B66">
        <w:t xml:space="preserve"> and familiarised them with other evaluation measures.</w:t>
      </w:r>
    </w:p>
    <w:p w14:paraId="0E9EB62C" w14:textId="77777777" w:rsidR="004C4A50" w:rsidRPr="00520C7C" w:rsidRDefault="004C4A50" w:rsidP="00EB555B">
      <w:pPr>
        <w:kinsoku w:val="0"/>
        <w:overflowPunct w:val="0"/>
        <w:spacing w:line="480" w:lineRule="auto"/>
        <w:textAlignment w:val="baseline"/>
        <w:rPr>
          <w:b/>
        </w:rPr>
      </w:pPr>
    </w:p>
    <w:p w14:paraId="5A2EA562" w14:textId="22BCA346" w:rsidR="00894513" w:rsidRPr="00520C7C" w:rsidRDefault="002F6F17" w:rsidP="000F3600">
      <w:pPr>
        <w:kinsoku w:val="0"/>
        <w:overflowPunct w:val="0"/>
        <w:spacing w:line="480" w:lineRule="auto"/>
        <w:textAlignment w:val="baseline"/>
        <w:rPr>
          <w:rFonts w:eastAsia="Times New Roman"/>
        </w:rPr>
      </w:pPr>
      <w:r w:rsidRPr="00520C7C">
        <w:t xml:space="preserve">Programme providers </w:t>
      </w:r>
      <w:r w:rsidR="008071B1" w:rsidRPr="00520C7C">
        <w:t xml:space="preserve">allocated </w:t>
      </w:r>
      <w:r w:rsidRPr="00520C7C">
        <w:rPr>
          <w:rFonts w:eastAsia="Times New Roman"/>
        </w:rPr>
        <w:t>service users into one of three comparison groups</w:t>
      </w:r>
      <w:r w:rsidR="008C649A" w:rsidRPr="00520C7C">
        <w:rPr>
          <w:rFonts w:eastAsia="Times New Roman"/>
        </w:rPr>
        <w:t xml:space="preserve">: </w:t>
      </w:r>
      <w:r w:rsidR="000058A7" w:rsidRPr="00520C7C">
        <w:rPr>
          <w:rFonts w:eastAsia="Times New Roman"/>
          <w:b/>
        </w:rPr>
        <w:br/>
      </w:r>
      <w:r w:rsidR="00894513" w:rsidRPr="00520C7C">
        <w:rPr>
          <w:rFonts w:eastAsia="Times New Roman"/>
        </w:rPr>
        <w:t>a)</w:t>
      </w:r>
      <w:r w:rsidR="00894513" w:rsidRPr="00520C7C">
        <w:rPr>
          <w:rFonts w:eastAsia="Times New Roman"/>
          <w:b/>
        </w:rPr>
        <w:t xml:space="preserve"> </w:t>
      </w:r>
      <w:r w:rsidR="00894513" w:rsidRPr="00520C7C">
        <w:t xml:space="preserve">Combined Momenta </w:t>
      </w:r>
      <w:r w:rsidR="006E1DA5" w:rsidRPr="00520C7C">
        <w:t>plus</w:t>
      </w:r>
      <w:r w:rsidR="009D0324" w:rsidRPr="00520C7C">
        <w:t xml:space="preserve"> f</w:t>
      </w:r>
      <w:r w:rsidR="00894513" w:rsidRPr="00520C7C">
        <w:t>itness membership</w:t>
      </w:r>
      <w:r w:rsidR="00CF4D07" w:rsidRPr="00520C7C">
        <w:t xml:space="preserve"> (Momenta-Fitness)</w:t>
      </w:r>
      <w:proofErr w:type="gramStart"/>
      <w:r w:rsidR="00957D19" w:rsidRPr="00520C7C">
        <w:t>;</w:t>
      </w:r>
      <w:proofErr w:type="gramEnd"/>
    </w:p>
    <w:p w14:paraId="1070EB73" w14:textId="03F95EF7" w:rsidR="00135F7B" w:rsidRPr="00520C7C" w:rsidRDefault="00894513" w:rsidP="00EB555B">
      <w:pPr>
        <w:kinsoku w:val="0"/>
        <w:overflowPunct w:val="0"/>
        <w:spacing w:line="480" w:lineRule="auto"/>
        <w:textAlignment w:val="baseline"/>
        <w:rPr>
          <w:rFonts w:eastAsia="Times New Roman"/>
        </w:rPr>
      </w:pPr>
      <w:r w:rsidRPr="00520C7C">
        <w:t>b</w:t>
      </w:r>
      <w:r w:rsidR="000058A7" w:rsidRPr="00520C7C">
        <w:t>) Momenta</w:t>
      </w:r>
      <w:proofErr w:type="gramStart"/>
      <w:r w:rsidR="00957D19" w:rsidRPr="00520C7C">
        <w:t>;</w:t>
      </w:r>
      <w:proofErr w:type="gramEnd"/>
      <w:r w:rsidR="000058A7" w:rsidRPr="00520C7C">
        <w:rPr>
          <w:rFonts w:eastAsia="Times New Roman"/>
          <w:b/>
        </w:rPr>
        <w:br/>
      </w:r>
      <w:r w:rsidRPr="00520C7C">
        <w:rPr>
          <w:rFonts w:eastAsia="Times New Roman"/>
        </w:rPr>
        <w:t>c</w:t>
      </w:r>
      <w:r w:rsidR="000058A7" w:rsidRPr="00520C7C">
        <w:rPr>
          <w:rFonts w:eastAsia="Times New Roman"/>
        </w:rPr>
        <w:t>)</w:t>
      </w:r>
      <w:r w:rsidR="00C92A47" w:rsidRPr="00520C7C">
        <w:rPr>
          <w:rFonts w:eastAsia="Times New Roman"/>
        </w:rPr>
        <w:t xml:space="preserve"> </w:t>
      </w:r>
      <w:r w:rsidR="00F17844" w:rsidRPr="00520C7C">
        <w:t>F</w:t>
      </w:r>
      <w:r w:rsidR="00C45094" w:rsidRPr="00520C7C">
        <w:t xml:space="preserve">itness </w:t>
      </w:r>
      <w:r w:rsidR="000058A7" w:rsidRPr="00520C7C">
        <w:t>membership</w:t>
      </w:r>
      <w:r w:rsidR="00FB7F0A" w:rsidRPr="00520C7C">
        <w:t xml:space="preserve"> (Fitness</w:t>
      </w:r>
      <w:r w:rsidR="00B33A13" w:rsidRPr="00520C7C">
        <w:t xml:space="preserve"> </w:t>
      </w:r>
      <w:r w:rsidR="00FB7F0A" w:rsidRPr="00520C7C">
        <w:t>only)</w:t>
      </w:r>
      <w:r w:rsidR="008071B1" w:rsidRPr="00520C7C">
        <w:t>.</w:t>
      </w:r>
    </w:p>
    <w:p w14:paraId="0F187CC1" w14:textId="160187AB" w:rsidR="0043555E" w:rsidRDefault="008C649A" w:rsidP="00EB555B">
      <w:pPr>
        <w:kinsoku w:val="0"/>
        <w:overflowPunct w:val="0"/>
        <w:spacing w:line="480" w:lineRule="auto"/>
        <w:textAlignment w:val="baseline"/>
      </w:pPr>
      <w:r w:rsidRPr="00520C7C">
        <w:t>Participants were allocated into groups in order of receipt (</w:t>
      </w:r>
      <w:r w:rsidR="004D78FC" w:rsidRPr="00520C7C">
        <w:t xml:space="preserve">the </w:t>
      </w:r>
      <w:r w:rsidRPr="00520C7C">
        <w:t xml:space="preserve">first </w:t>
      </w:r>
      <w:r w:rsidR="004D78FC" w:rsidRPr="00520C7C">
        <w:t xml:space="preserve">referral </w:t>
      </w:r>
      <w:r w:rsidRPr="00520C7C">
        <w:t xml:space="preserve">form </w:t>
      </w:r>
      <w:r w:rsidR="00F005AB" w:rsidRPr="00520C7C">
        <w:t xml:space="preserve">received </w:t>
      </w:r>
      <w:r w:rsidR="004D78FC" w:rsidRPr="00520C7C">
        <w:t xml:space="preserve">was </w:t>
      </w:r>
      <w:r w:rsidR="00F005AB" w:rsidRPr="00520C7C">
        <w:t xml:space="preserve">allocated to </w:t>
      </w:r>
      <w:r w:rsidR="00A018D7" w:rsidRPr="00520C7C">
        <w:t>Momenta-F</w:t>
      </w:r>
      <w:r w:rsidRPr="00520C7C">
        <w:t xml:space="preserve">itness, </w:t>
      </w:r>
      <w:r w:rsidR="004D78FC" w:rsidRPr="00520C7C">
        <w:t xml:space="preserve">the </w:t>
      </w:r>
      <w:r w:rsidRPr="00520C7C">
        <w:t xml:space="preserve">second form </w:t>
      </w:r>
      <w:r w:rsidR="00F005AB" w:rsidRPr="00520C7C">
        <w:t xml:space="preserve">to </w:t>
      </w:r>
      <w:r w:rsidRPr="00520C7C">
        <w:t xml:space="preserve">Momenta, </w:t>
      </w:r>
      <w:r w:rsidR="004D78FC" w:rsidRPr="00520C7C">
        <w:t xml:space="preserve">the </w:t>
      </w:r>
      <w:r w:rsidRPr="00520C7C">
        <w:t>third form</w:t>
      </w:r>
      <w:r w:rsidR="00F005AB" w:rsidRPr="00520C7C">
        <w:t xml:space="preserve"> to</w:t>
      </w:r>
      <w:r w:rsidRPr="00520C7C">
        <w:t xml:space="preserve"> fitness only</w:t>
      </w:r>
      <w:r w:rsidR="004D78FC" w:rsidRPr="00520C7C">
        <w:t xml:space="preserve"> etc.).</w:t>
      </w:r>
      <w:r w:rsidRPr="00520C7C">
        <w:t xml:space="preserve"> The provider then contacted participants by telephone to arrange attendance. If a participant was unable to attend the allocated group, (e.g. due to inconvenient session times) provider allocated them to a di</w:t>
      </w:r>
      <w:r w:rsidR="00A20957">
        <w:t>fferent group after discussion.</w:t>
      </w:r>
      <w:r w:rsidRPr="00520C7C">
        <w:t xml:space="preserve"> </w:t>
      </w:r>
      <w:r w:rsidR="00012BB4" w:rsidRPr="00520C7C">
        <w:t xml:space="preserve">Due to </w:t>
      </w:r>
      <w:r w:rsidR="00135F7B" w:rsidRPr="00520C7C">
        <w:t>maximum rec</w:t>
      </w:r>
      <w:r w:rsidR="00012BB4" w:rsidRPr="00520C7C">
        <w:t xml:space="preserve">ommended </w:t>
      </w:r>
      <w:r w:rsidR="008C11A4" w:rsidRPr="00520C7C">
        <w:t xml:space="preserve">Momenta </w:t>
      </w:r>
      <w:r w:rsidR="00012BB4" w:rsidRPr="00520C7C">
        <w:t>group size</w:t>
      </w:r>
      <w:r w:rsidR="004C0B1A" w:rsidRPr="00520C7C">
        <w:t>,</w:t>
      </w:r>
      <w:r w:rsidR="00957D19" w:rsidRPr="00520C7C">
        <w:t xml:space="preserve"> </w:t>
      </w:r>
      <w:r w:rsidR="00CB4803" w:rsidRPr="00520C7C">
        <w:t xml:space="preserve">referrals </w:t>
      </w:r>
      <w:proofErr w:type="gramStart"/>
      <w:r w:rsidR="00CB4803" w:rsidRPr="00520C7C">
        <w:t xml:space="preserve">were </w:t>
      </w:r>
      <w:r w:rsidR="000058A7" w:rsidRPr="00520C7C">
        <w:t>split</w:t>
      </w:r>
      <w:proofErr w:type="gramEnd"/>
      <w:r w:rsidR="000058A7" w:rsidRPr="00520C7C">
        <w:t xml:space="preserve"> into </w:t>
      </w:r>
      <w:r w:rsidR="000F3600" w:rsidRPr="00520C7C">
        <w:t xml:space="preserve">delivery </w:t>
      </w:r>
      <w:r w:rsidR="003F6C7F" w:rsidRPr="00520C7C">
        <w:t>cohorts</w:t>
      </w:r>
      <w:r w:rsidR="003F041E" w:rsidRPr="00520C7C">
        <w:t xml:space="preserve"> </w:t>
      </w:r>
      <w:r w:rsidR="006445D0" w:rsidRPr="00520C7C">
        <w:t xml:space="preserve">of </w:t>
      </w:r>
      <w:r w:rsidR="00957032" w:rsidRPr="00520C7C">
        <w:t>15</w:t>
      </w:r>
      <w:r w:rsidR="006445D0" w:rsidRPr="00520C7C">
        <w:t xml:space="preserve">, </w:t>
      </w:r>
      <w:r w:rsidR="00513764" w:rsidRPr="00520C7C">
        <w:t xml:space="preserve">with groups rolling </w:t>
      </w:r>
      <w:r w:rsidR="004C0B1A" w:rsidRPr="00520C7C">
        <w:t>through</w:t>
      </w:r>
      <w:r w:rsidR="003F041E" w:rsidRPr="00520C7C">
        <w:t xml:space="preserve"> March 2015</w:t>
      </w:r>
      <w:r w:rsidR="00513764" w:rsidRPr="00520C7C">
        <w:t xml:space="preserve"> to </w:t>
      </w:r>
      <w:r w:rsidR="00A60E73" w:rsidRPr="00520C7C">
        <w:t xml:space="preserve">April </w:t>
      </w:r>
      <w:r w:rsidR="006445D0" w:rsidRPr="00520C7C">
        <w:t>2016.</w:t>
      </w:r>
    </w:p>
    <w:p w14:paraId="64964783" w14:textId="77777777" w:rsidR="00ED3346" w:rsidRPr="00520C7C" w:rsidRDefault="00ED3346" w:rsidP="00ED3346">
      <w:pPr>
        <w:kinsoku w:val="0"/>
        <w:overflowPunct w:val="0"/>
        <w:spacing w:line="480" w:lineRule="auto"/>
        <w:textAlignment w:val="baseline"/>
        <w:rPr>
          <w:rFonts w:eastAsia="MS PGothic"/>
          <w:b/>
        </w:rPr>
      </w:pPr>
    </w:p>
    <w:p w14:paraId="74425723" w14:textId="5A7C663B" w:rsidR="00ED3346" w:rsidRPr="00011925" w:rsidRDefault="00ED3346" w:rsidP="00ED3346">
      <w:pPr>
        <w:spacing w:line="480" w:lineRule="auto"/>
        <w:jc w:val="both"/>
        <w:rPr>
          <w:rFonts w:ascii="Arial" w:eastAsia="Calibri" w:hAnsi="Arial" w:cs="Arial"/>
        </w:rPr>
      </w:pPr>
      <w:r w:rsidRPr="00520C7C">
        <w:t xml:space="preserve">Implementation effectiveness for the referral process </w:t>
      </w:r>
      <w:proofErr w:type="gramStart"/>
      <w:r w:rsidRPr="00520C7C">
        <w:t>was explored</w:t>
      </w:r>
      <w:proofErr w:type="gramEnd"/>
      <w:r w:rsidRPr="00520C7C">
        <w:t xml:space="preserve"> through semi-structured interviews with referring HCPs (undertaken at referring surgeries) and focus groups with service users (in leisure centres). All were conducted by LN during March-July 2015, as part of her Public Health </w:t>
      </w:r>
      <w:r w:rsidR="001C40FF" w:rsidRPr="00011925">
        <w:t>Master’s</w:t>
      </w:r>
      <w:r w:rsidRPr="00011925">
        <w:t xml:space="preserve"> degree (which contained qualitative methods training), mentored by TF, an experienced qualitative researcher. LN </w:t>
      </w:r>
      <w:proofErr w:type="gramStart"/>
      <w:r w:rsidRPr="00011925">
        <w:t>was employed</w:t>
      </w:r>
      <w:proofErr w:type="gramEnd"/>
      <w:r w:rsidRPr="00011925">
        <w:t xml:space="preserve"> as a member of the Northumberland public health team at the time of the evaluation. Questions are included in supplementary file 2. Data were audio-recorded. Results are reported using the </w:t>
      </w:r>
      <w:proofErr w:type="gramStart"/>
      <w:r w:rsidRPr="00011925">
        <w:t>Consolidated</w:t>
      </w:r>
      <w:proofErr w:type="gramEnd"/>
      <w:r w:rsidRPr="00011925">
        <w:t xml:space="preserve"> criteria for Reporting Qualitative research guidelines</w:t>
      </w:r>
      <w:r w:rsidR="001C40FF" w:rsidRPr="00011925">
        <w:t>.</w:t>
      </w:r>
      <w:r w:rsidRPr="00011925">
        <w:rPr>
          <w:vertAlign w:val="superscript"/>
        </w:rPr>
        <w:t>3</w:t>
      </w:r>
      <w:r w:rsidR="00533AFC" w:rsidRPr="00011925">
        <w:rPr>
          <w:vertAlign w:val="superscript"/>
        </w:rPr>
        <w:t>0</w:t>
      </w:r>
    </w:p>
    <w:p w14:paraId="3015BECB" w14:textId="77777777" w:rsidR="00ED3346" w:rsidRPr="00011925" w:rsidRDefault="00ED3346" w:rsidP="00ED3346">
      <w:pPr>
        <w:spacing w:after="200" w:line="480" w:lineRule="auto"/>
        <w:ind w:firstLine="720"/>
        <w:rPr>
          <w:rFonts w:eastAsia="Calibri"/>
        </w:rPr>
      </w:pPr>
    </w:p>
    <w:p w14:paraId="4D454CEF" w14:textId="77777777" w:rsidR="00ED3346" w:rsidRPr="00520C7C" w:rsidRDefault="00ED3346" w:rsidP="00ED3346">
      <w:pPr>
        <w:spacing w:after="200" w:line="480" w:lineRule="auto"/>
        <w:rPr>
          <w:rFonts w:eastAsia="Calibri"/>
        </w:rPr>
      </w:pPr>
      <w:r w:rsidRPr="00011925">
        <w:rPr>
          <w:rFonts w:eastAsia="Calibri"/>
        </w:rPr>
        <w:t>Practice managers from all six referring surgeries were sent an email invitation for staff to take part (n = 84), (General Practitioner = 53, Practice Nurse = 18, Health Care Assistant = 13). I</w:t>
      </w:r>
      <w:r w:rsidRPr="00011925">
        <w:t xml:space="preserve">ndividual correspondence </w:t>
      </w:r>
      <w:proofErr w:type="gramStart"/>
      <w:r w:rsidRPr="00011925">
        <w:t>was sent</w:t>
      </w:r>
      <w:proofErr w:type="gramEnd"/>
      <w:r w:rsidRPr="00011925">
        <w:t xml:space="preserve"> to those agreeing. LN informed participants about her employment status and that the study aimed to understand implementation issues. Interviews aimed to explore </w:t>
      </w:r>
      <w:proofErr w:type="spellStart"/>
      <w:r w:rsidRPr="00011925">
        <w:t>HCPs’</w:t>
      </w:r>
      <w:proofErr w:type="spellEnd"/>
      <w:r w:rsidRPr="00011925">
        <w:t xml:space="preserve"> referral experiences; raising weight issues; assessing readiness to change; marketing and referral materials; and the referral </w:t>
      </w:r>
      <w:r w:rsidRPr="00520C7C">
        <w:t>process. Interview questions were pilot tested with public health colleagues to assess timing and ensure validity.</w:t>
      </w:r>
      <w:r w:rsidRPr="00520C7C">
        <w:rPr>
          <w:rFonts w:eastAsia="Calibri"/>
        </w:rPr>
        <w:t xml:space="preserve"> One question (</w:t>
      </w:r>
      <w:r w:rsidRPr="00520C7C">
        <w:rPr>
          <w:rFonts w:eastAsia="Calibri"/>
          <w:i/>
        </w:rPr>
        <w:t>Thinking about after you referred the patient, what happened next?</w:t>
      </w:r>
      <w:r w:rsidRPr="00520C7C">
        <w:rPr>
          <w:rFonts w:eastAsia="Calibri"/>
        </w:rPr>
        <w:t>)</w:t>
      </w:r>
      <w:r w:rsidRPr="00520C7C">
        <w:rPr>
          <w:rFonts w:eastAsia="Calibri"/>
          <w:b/>
        </w:rPr>
        <w:t xml:space="preserve"> </w:t>
      </w:r>
      <w:r w:rsidRPr="00520C7C">
        <w:rPr>
          <w:rFonts w:eastAsia="Calibri"/>
        </w:rPr>
        <w:t xml:space="preserve">was omitted after piloting as it was realised HCPs would not have had patient feedback at that point. Interviews lasted on average 26 minutes and </w:t>
      </w:r>
      <w:proofErr w:type="gramStart"/>
      <w:r w:rsidRPr="00520C7C">
        <w:rPr>
          <w:rFonts w:eastAsia="Calibri"/>
        </w:rPr>
        <w:t>were transcribed</w:t>
      </w:r>
      <w:proofErr w:type="gramEnd"/>
      <w:r w:rsidRPr="00520C7C">
        <w:rPr>
          <w:rFonts w:eastAsia="Calibri"/>
        </w:rPr>
        <w:t xml:space="preserve"> verbatim. Data were analysed following each interview, with developing themes considered to determine whether questions required refinement.  Initial themes generated from the first two interviews did not change and thus questions remained constant, although prompts </w:t>
      </w:r>
      <w:proofErr w:type="gramStart"/>
      <w:r w:rsidRPr="00520C7C">
        <w:rPr>
          <w:rFonts w:eastAsia="Calibri"/>
        </w:rPr>
        <w:t>were added</w:t>
      </w:r>
      <w:proofErr w:type="gramEnd"/>
      <w:r w:rsidRPr="00520C7C">
        <w:rPr>
          <w:rFonts w:eastAsia="Calibri"/>
        </w:rPr>
        <w:t xml:space="preserve">. </w:t>
      </w:r>
    </w:p>
    <w:p w14:paraId="76A548D5" w14:textId="77777777" w:rsidR="00ED3346" w:rsidRPr="00011925" w:rsidRDefault="00ED3346" w:rsidP="00ED3346">
      <w:pPr>
        <w:kinsoku w:val="0"/>
        <w:overflowPunct w:val="0"/>
        <w:spacing w:line="480" w:lineRule="auto"/>
        <w:textAlignment w:val="baseline"/>
      </w:pPr>
    </w:p>
    <w:p w14:paraId="3DE815AE" w14:textId="0E6ADFB9" w:rsidR="00ED3346" w:rsidRPr="00011925" w:rsidRDefault="00ED3346" w:rsidP="00ED3346">
      <w:pPr>
        <w:spacing w:line="480" w:lineRule="auto"/>
      </w:pPr>
      <w:r w:rsidRPr="00011925">
        <w:t>During the initial assessment session for the first wave of referrals, all (</w:t>
      </w:r>
      <w:r w:rsidRPr="00011925">
        <w:rPr>
          <w:i/>
        </w:rPr>
        <w:t>n</w:t>
      </w:r>
      <w:r w:rsidRPr="00011925">
        <w:t xml:space="preserve"> = 39) were given a written invitation to participate in a series of focus groups at programme-end to explore experiences. Emphasis </w:t>
      </w:r>
      <w:proofErr w:type="gramStart"/>
      <w:r w:rsidRPr="00011925">
        <w:t>was placed</w:t>
      </w:r>
      <w:proofErr w:type="gramEnd"/>
      <w:r w:rsidRPr="00011925">
        <w:t xml:space="preserve"> on the referral process, initial expectations and experiences of participation; how weight issues were raised by HCPs; time from referral to initial assessment; and facilitators and barriers to taking part. Focus groups lasted between 26 and 44 minutes.</w:t>
      </w:r>
    </w:p>
    <w:p w14:paraId="4F3E8CC9" w14:textId="77777777" w:rsidR="00EB555B" w:rsidRPr="00011925" w:rsidRDefault="00EB555B" w:rsidP="00ED3346">
      <w:pPr>
        <w:kinsoku w:val="0"/>
        <w:overflowPunct w:val="0"/>
        <w:spacing w:line="480" w:lineRule="auto"/>
        <w:textAlignment w:val="baseline"/>
      </w:pPr>
    </w:p>
    <w:p w14:paraId="273B1CB6" w14:textId="3A3BFED4" w:rsidR="00EB555B" w:rsidRPr="00011925" w:rsidRDefault="00ED3346" w:rsidP="000F3600">
      <w:pPr>
        <w:kinsoku w:val="0"/>
        <w:overflowPunct w:val="0"/>
        <w:spacing w:line="480" w:lineRule="auto"/>
        <w:textAlignment w:val="baseline"/>
        <w:rPr>
          <w:rFonts w:eastAsia="MS PGothic"/>
        </w:rPr>
      </w:pPr>
      <w:r w:rsidRPr="00011925">
        <w:t>Preliminary o</w:t>
      </w:r>
      <w:r w:rsidR="008071B1" w:rsidRPr="00011925">
        <w:t xml:space="preserve">utcome </w:t>
      </w:r>
      <w:r w:rsidR="00147FDE" w:rsidRPr="00011925">
        <w:t>data</w:t>
      </w:r>
      <w:r w:rsidRPr="00011925">
        <w:t xml:space="preserve"> </w:t>
      </w:r>
      <w:proofErr w:type="gramStart"/>
      <w:r w:rsidRPr="00011925">
        <w:t xml:space="preserve">were </w:t>
      </w:r>
      <w:r w:rsidR="00147FDE" w:rsidRPr="00011925">
        <w:t>collected</w:t>
      </w:r>
      <w:proofErr w:type="gramEnd"/>
      <w:r w:rsidRPr="00011925">
        <w:t xml:space="preserve"> to provide an initial indication of programme success. </w:t>
      </w:r>
      <w:r w:rsidR="008071B1" w:rsidRPr="00011925">
        <w:t xml:space="preserve"> </w:t>
      </w:r>
      <w:r w:rsidRPr="00011925">
        <w:t xml:space="preserve">These </w:t>
      </w:r>
      <w:r w:rsidR="00F6447C" w:rsidRPr="00011925">
        <w:t>included anthropometric measurements to determine weight change.</w:t>
      </w:r>
      <w:r w:rsidR="008071B1" w:rsidRPr="00011925">
        <w:t xml:space="preserve"> </w:t>
      </w:r>
      <w:r w:rsidR="00147FDE" w:rsidRPr="00011925">
        <w:t>W</w:t>
      </w:r>
      <w:r w:rsidR="00143C80" w:rsidRPr="00011925">
        <w:t xml:space="preserve">ell-being </w:t>
      </w:r>
      <w:r w:rsidR="008071B1" w:rsidRPr="00011925">
        <w:t xml:space="preserve">measures were of specific interest to commissioners. </w:t>
      </w:r>
      <w:r w:rsidR="00147FDE" w:rsidRPr="00011925">
        <w:t>Sociodemographic information was also available as indicated.</w:t>
      </w:r>
    </w:p>
    <w:p w14:paraId="262C961F" w14:textId="77777777" w:rsidR="00EB555B" w:rsidRPr="00520C7C" w:rsidRDefault="00EB555B" w:rsidP="00EB555B">
      <w:pPr>
        <w:spacing w:line="480" w:lineRule="auto"/>
      </w:pPr>
    </w:p>
    <w:p w14:paraId="64311091" w14:textId="0DB5030C" w:rsidR="00B800C5" w:rsidRPr="00011925" w:rsidRDefault="00EB555B" w:rsidP="000F3600">
      <w:pPr>
        <w:spacing w:line="480" w:lineRule="auto"/>
      </w:pPr>
      <w:r w:rsidRPr="00520C7C">
        <w:t>A</w:t>
      </w:r>
      <w:r w:rsidR="00B800C5" w:rsidRPr="00520C7C">
        <w:t>ge, gender and postcode</w:t>
      </w:r>
      <w:r w:rsidR="00E152E5" w:rsidRPr="00520C7C">
        <w:t xml:space="preserve"> (for</w:t>
      </w:r>
      <w:r w:rsidR="00B800C5" w:rsidRPr="00520C7C">
        <w:t xml:space="preserve"> </w:t>
      </w:r>
      <w:r w:rsidR="0089721B" w:rsidRPr="00520C7C">
        <w:t>index of multiple deprivation, IMD</w:t>
      </w:r>
      <w:r w:rsidR="00B800C5" w:rsidRPr="00520C7C">
        <w:t>) w</w:t>
      </w:r>
      <w:r w:rsidR="006A7863" w:rsidRPr="00520C7C">
        <w:t>ere</w:t>
      </w:r>
      <w:r w:rsidR="00B800C5" w:rsidRPr="00520C7C">
        <w:t xml:space="preserve"> recorded </w:t>
      </w:r>
      <w:r w:rsidR="00D35A88" w:rsidRPr="00520C7C">
        <w:t xml:space="preserve">by referring </w:t>
      </w:r>
      <w:r w:rsidR="008304B1" w:rsidRPr="00520C7C">
        <w:t>HCPs</w:t>
      </w:r>
      <w:r w:rsidR="00D35A88" w:rsidRPr="00520C7C">
        <w:t xml:space="preserve"> </w:t>
      </w:r>
      <w:r w:rsidR="00B800C5" w:rsidRPr="00520C7C">
        <w:t xml:space="preserve">on the referral form. </w:t>
      </w:r>
      <w:r w:rsidR="00E152E5" w:rsidRPr="00520C7C">
        <w:t xml:space="preserve">Employment status, </w:t>
      </w:r>
      <w:r w:rsidR="00B800C5" w:rsidRPr="00520C7C">
        <w:t xml:space="preserve">level of education, cohort </w:t>
      </w:r>
      <w:r w:rsidR="00E152E5" w:rsidRPr="00520C7C">
        <w:t xml:space="preserve">wave </w:t>
      </w:r>
      <w:r w:rsidR="00B800C5" w:rsidRPr="00520C7C">
        <w:t xml:space="preserve">and </w:t>
      </w:r>
      <w:r w:rsidR="00547603" w:rsidRPr="00520C7C">
        <w:t>programme group</w:t>
      </w:r>
      <w:r w:rsidR="00E152E5" w:rsidRPr="00520C7C">
        <w:t xml:space="preserve"> were recorded by l</w:t>
      </w:r>
      <w:r w:rsidR="00B800C5" w:rsidRPr="00520C7C">
        <w:t>eisure staff</w:t>
      </w:r>
      <w:r w:rsidR="006A7863" w:rsidRPr="00520C7C">
        <w:t>,</w:t>
      </w:r>
      <w:r w:rsidR="00B800C5" w:rsidRPr="00520C7C">
        <w:t xml:space="preserve"> </w:t>
      </w:r>
      <w:r w:rsidR="00E152E5" w:rsidRPr="00520C7C">
        <w:t xml:space="preserve">who also </w:t>
      </w:r>
      <w:r w:rsidR="00B800C5" w:rsidRPr="00520C7C">
        <w:t>measured weight</w:t>
      </w:r>
      <w:r w:rsidR="00F6447C" w:rsidRPr="00520C7C">
        <w:t xml:space="preserve"> and</w:t>
      </w:r>
      <w:r w:rsidR="00547603" w:rsidRPr="00520C7C">
        <w:t xml:space="preserve"> </w:t>
      </w:r>
      <w:r w:rsidR="00F6447C" w:rsidRPr="00520C7C">
        <w:t xml:space="preserve">stature (without shoes or bulky clothing) </w:t>
      </w:r>
      <w:r w:rsidR="00B800C5" w:rsidRPr="00520C7C">
        <w:t xml:space="preserve">and waist circumference </w:t>
      </w:r>
      <w:r w:rsidR="006A7863" w:rsidRPr="00520C7C">
        <w:t>at baseline</w:t>
      </w:r>
      <w:r w:rsidR="00B800C5" w:rsidRPr="00520C7C">
        <w:t xml:space="preserve"> </w:t>
      </w:r>
      <w:r w:rsidR="00F17844" w:rsidRPr="00520C7C">
        <w:t xml:space="preserve">and programme end.  </w:t>
      </w:r>
      <w:r w:rsidR="00B800C5" w:rsidRPr="00520C7C">
        <w:t xml:space="preserve">Measures </w:t>
      </w:r>
      <w:proofErr w:type="gramStart"/>
      <w:r w:rsidR="00B800C5" w:rsidRPr="00520C7C">
        <w:t>were taken</w:t>
      </w:r>
      <w:proofErr w:type="gramEnd"/>
      <w:r w:rsidR="00B800C5" w:rsidRPr="00520C7C">
        <w:t xml:space="preserve"> in </w:t>
      </w:r>
      <w:r w:rsidR="003547AE" w:rsidRPr="00520C7C">
        <w:t xml:space="preserve">at least </w:t>
      </w:r>
      <w:r w:rsidR="00B800C5" w:rsidRPr="00520C7C">
        <w:t>duplicate</w:t>
      </w:r>
      <w:r w:rsidR="003547AE" w:rsidRPr="00520C7C">
        <w:t>, using standardised tools</w:t>
      </w:r>
      <w:r w:rsidR="00F6447C" w:rsidRPr="00520C7C">
        <w:t xml:space="preserve"> in accordance with international standards</w:t>
      </w:r>
      <w:r w:rsidR="00F6447C" w:rsidRPr="00520C7C">
        <w:rPr>
          <w:vertAlign w:val="superscript"/>
        </w:rPr>
        <w:t>29</w:t>
      </w:r>
      <w:r w:rsidR="00F6447C" w:rsidRPr="00520C7C">
        <w:t xml:space="preserve"> using SECA 761 scales, a Leicester portable stadiometer and </w:t>
      </w:r>
      <w:r w:rsidR="00F6447C" w:rsidRPr="00157B03">
        <w:t xml:space="preserve">anthropometry tape. </w:t>
      </w:r>
      <w:r w:rsidR="00B800C5" w:rsidRPr="00157B03">
        <w:t xml:space="preserve">Body mass index was calculated </w:t>
      </w:r>
      <w:r w:rsidR="00777F86" w:rsidRPr="00157B03">
        <w:t>and classified according to WHO</w:t>
      </w:r>
      <w:r w:rsidR="00F93E2B" w:rsidRPr="00157B03">
        <w:t xml:space="preserve"> guidelines</w:t>
      </w:r>
      <w:r w:rsidR="00FF14FD" w:rsidRPr="00157B03">
        <w:t>.</w:t>
      </w:r>
      <w:r w:rsidR="000B7E38" w:rsidRPr="00157B03">
        <w:rPr>
          <w:vertAlign w:val="superscript"/>
        </w:rPr>
        <w:t>3</w:t>
      </w:r>
      <w:r w:rsidR="003E4589" w:rsidRPr="00157B03">
        <w:rPr>
          <w:vertAlign w:val="superscript"/>
        </w:rPr>
        <w:t>1</w:t>
      </w:r>
      <w:r w:rsidR="008613F6" w:rsidRPr="00157B03">
        <w:t xml:space="preserve"> </w:t>
      </w:r>
      <w:r w:rsidR="00B800C5" w:rsidRPr="00157B03">
        <w:t>The Warwick-Edinburgh Mental Well-being Scale</w:t>
      </w:r>
      <w:proofErr w:type="gramStart"/>
      <w:r w:rsidR="00FF14FD" w:rsidRPr="00157B03">
        <w:t>,</w:t>
      </w:r>
      <w:r w:rsidR="000B7E38" w:rsidRPr="00157B03">
        <w:rPr>
          <w:vertAlign w:val="superscript"/>
        </w:rPr>
        <w:t>3</w:t>
      </w:r>
      <w:r w:rsidR="003E4589" w:rsidRPr="00157B03">
        <w:rPr>
          <w:vertAlign w:val="superscript"/>
        </w:rPr>
        <w:t>2</w:t>
      </w:r>
      <w:proofErr w:type="gramEnd"/>
      <w:r w:rsidR="005768C7" w:rsidRPr="00157B03">
        <w:t xml:space="preserve"> </w:t>
      </w:r>
      <w:r w:rsidR="00B800C5" w:rsidRPr="00157B03">
        <w:t xml:space="preserve">and the Hospital Anxiety and Depression </w:t>
      </w:r>
      <w:r w:rsidR="006B32CB" w:rsidRPr="00157B03">
        <w:t>Scale</w:t>
      </w:r>
      <w:r w:rsidR="00A20957" w:rsidRPr="00157B03">
        <w:t xml:space="preserve"> </w:t>
      </w:r>
      <w:r w:rsidR="00A20957" w:rsidRPr="00E37890">
        <w:t>(HADS)</w:t>
      </w:r>
      <w:r w:rsidR="005D6002" w:rsidRPr="00157B03">
        <w:rPr>
          <w:vertAlign w:val="superscript"/>
        </w:rPr>
        <w:t>3</w:t>
      </w:r>
      <w:r w:rsidR="003E4589" w:rsidRPr="00157B03">
        <w:rPr>
          <w:vertAlign w:val="superscript"/>
        </w:rPr>
        <w:t>3</w:t>
      </w:r>
      <w:r w:rsidR="009F53E8" w:rsidRPr="00157B03">
        <w:rPr>
          <w:vertAlign w:val="superscript"/>
        </w:rPr>
        <w:t xml:space="preserve"> </w:t>
      </w:r>
      <w:r w:rsidR="00B800C5" w:rsidRPr="00157B03">
        <w:t xml:space="preserve">were administered </w:t>
      </w:r>
      <w:r w:rsidR="00B973A2" w:rsidRPr="00157B03">
        <w:t xml:space="preserve">at </w:t>
      </w:r>
      <w:r w:rsidR="000244AA" w:rsidRPr="00157B03">
        <w:t>each</w:t>
      </w:r>
      <w:r w:rsidR="00B973A2" w:rsidRPr="00157B03">
        <w:t xml:space="preserve"> time-point</w:t>
      </w:r>
      <w:r w:rsidR="00B800C5" w:rsidRPr="00157B03">
        <w:t>. Attendance</w:t>
      </w:r>
      <w:r w:rsidR="00B800C5" w:rsidRPr="00520C7C">
        <w:t xml:space="preserve"> at </w:t>
      </w:r>
      <w:r w:rsidR="00C82663" w:rsidRPr="00520C7C">
        <w:t xml:space="preserve">Momenta and </w:t>
      </w:r>
      <w:r w:rsidR="000244AA" w:rsidRPr="00520C7C">
        <w:t>leisure centre usage</w:t>
      </w:r>
      <w:r w:rsidR="00C82663" w:rsidRPr="00520C7C">
        <w:t xml:space="preserve"> </w:t>
      </w:r>
      <w:proofErr w:type="gramStart"/>
      <w:r w:rsidR="00B800C5" w:rsidRPr="00520C7C">
        <w:t>was monitored</w:t>
      </w:r>
      <w:proofErr w:type="gramEnd"/>
      <w:r w:rsidR="00B800C5" w:rsidRPr="00520C7C">
        <w:t xml:space="preserve"> via swipe-card tracking. </w:t>
      </w:r>
      <w:r w:rsidR="00F17844" w:rsidRPr="00520C7C">
        <w:t xml:space="preserve"> </w:t>
      </w:r>
      <w:r w:rsidR="0049138C" w:rsidRPr="00520C7C">
        <w:t>52 weeks</w:t>
      </w:r>
      <w:r w:rsidR="00B973A2" w:rsidRPr="00520C7C">
        <w:t xml:space="preserve"> after commencing the </w:t>
      </w:r>
      <w:r w:rsidR="00B973A2" w:rsidRPr="00011925">
        <w:t xml:space="preserve">programme, </w:t>
      </w:r>
      <w:r w:rsidR="00147FDE" w:rsidRPr="00011925">
        <w:t>service users</w:t>
      </w:r>
      <w:r w:rsidR="00B973A2" w:rsidRPr="00011925">
        <w:t xml:space="preserve"> </w:t>
      </w:r>
      <w:proofErr w:type="gramStart"/>
      <w:r w:rsidR="00B973A2" w:rsidRPr="00011925">
        <w:t>were invited</w:t>
      </w:r>
      <w:proofErr w:type="gramEnd"/>
      <w:r w:rsidR="00B973A2" w:rsidRPr="00011925">
        <w:t xml:space="preserve"> to attend a follow-up session, </w:t>
      </w:r>
      <w:r w:rsidR="000244AA" w:rsidRPr="00011925">
        <w:t>where</w:t>
      </w:r>
      <w:r w:rsidR="00B973A2" w:rsidRPr="00011925">
        <w:t xml:space="preserve"> </w:t>
      </w:r>
      <w:r w:rsidR="0049138C" w:rsidRPr="00011925">
        <w:t>leisure staff repeated physiological and psychological measures</w:t>
      </w:r>
      <w:r w:rsidR="00EF7671" w:rsidRPr="00011925">
        <w:rPr>
          <w:b/>
        </w:rPr>
        <w:t>.</w:t>
      </w:r>
      <w:r w:rsidR="00864EE0" w:rsidRPr="00011925">
        <w:rPr>
          <w:b/>
        </w:rPr>
        <w:t xml:space="preserve"> </w:t>
      </w:r>
      <w:r w:rsidR="00640460" w:rsidRPr="00011925">
        <w:rPr>
          <w:b/>
        </w:rPr>
        <w:t xml:space="preserve"> </w:t>
      </w:r>
      <w:r w:rsidR="00C44838" w:rsidRPr="00011925">
        <w:t>Programme</w:t>
      </w:r>
      <w:r w:rsidR="00C44838" w:rsidRPr="00011925">
        <w:rPr>
          <w:b/>
        </w:rPr>
        <w:t xml:space="preserve"> </w:t>
      </w:r>
      <w:r w:rsidR="00C44838" w:rsidRPr="00011925">
        <w:t xml:space="preserve">providers collected and collated quantitative </w:t>
      </w:r>
      <w:r w:rsidR="00640460" w:rsidRPr="00011925">
        <w:t>data</w:t>
      </w:r>
      <w:r w:rsidR="00E536FF" w:rsidRPr="00011925">
        <w:t xml:space="preserve"> </w:t>
      </w:r>
      <w:r w:rsidR="00143C80" w:rsidRPr="00011925">
        <w:t>and</w:t>
      </w:r>
      <w:r w:rsidR="00C44838" w:rsidRPr="00011925">
        <w:t xml:space="preserve"> provided an</w:t>
      </w:r>
      <w:r w:rsidR="00640460" w:rsidRPr="00011925">
        <w:t xml:space="preserve"> anonymised </w:t>
      </w:r>
      <w:r w:rsidR="00C44838" w:rsidRPr="00011925">
        <w:t xml:space="preserve">dataset </w:t>
      </w:r>
      <w:r w:rsidR="00640460" w:rsidRPr="00011925">
        <w:t>to the evaluation team for analysis.</w:t>
      </w:r>
    </w:p>
    <w:p w14:paraId="7024F19A" w14:textId="324231DB" w:rsidR="006071A1" w:rsidRPr="00011925" w:rsidRDefault="006071A1" w:rsidP="00ED3346">
      <w:pPr>
        <w:spacing w:line="480" w:lineRule="auto"/>
      </w:pPr>
    </w:p>
    <w:p w14:paraId="307F77F3" w14:textId="6D4D604E" w:rsidR="006071A1" w:rsidRPr="00011925" w:rsidRDefault="006071A1" w:rsidP="006071A1">
      <w:pPr>
        <w:spacing w:line="480" w:lineRule="auto"/>
        <w:rPr>
          <w:b/>
        </w:rPr>
      </w:pPr>
      <w:r w:rsidRPr="00011925">
        <w:rPr>
          <w:b/>
        </w:rPr>
        <w:t>Patient and public involvement</w:t>
      </w:r>
    </w:p>
    <w:p w14:paraId="5894A3F0" w14:textId="53FF6849" w:rsidR="00EA74EA" w:rsidRPr="00011925" w:rsidRDefault="00AC5D15" w:rsidP="006071A1">
      <w:pPr>
        <w:spacing w:line="480" w:lineRule="auto"/>
        <w:rPr>
          <w:szCs w:val="22"/>
        </w:rPr>
      </w:pPr>
      <w:r w:rsidRPr="00011925">
        <w:rPr>
          <w:szCs w:val="22"/>
        </w:rPr>
        <w:t>Patients and the public were not involved in the choice of evaluation topic, assisting in the study design, advising on the project or in carrying out the evaluation.</w:t>
      </w:r>
      <w:r w:rsidR="001C40FF" w:rsidRPr="00011925">
        <w:rPr>
          <w:szCs w:val="22"/>
        </w:rPr>
        <w:t xml:space="preserve"> </w:t>
      </w:r>
    </w:p>
    <w:p w14:paraId="42214DB7" w14:textId="3CE6488E" w:rsidR="006C30F8" w:rsidRPr="00520C7C" w:rsidRDefault="006C30F8" w:rsidP="006C30F8">
      <w:pPr>
        <w:spacing w:line="480" w:lineRule="auto"/>
        <w:rPr>
          <w:b/>
          <w:sz w:val="32"/>
        </w:rPr>
      </w:pPr>
    </w:p>
    <w:p w14:paraId="37062541" w14:textId="5846B71C" w:rsidR="00A60E73" w:rsidRPr="00520C7C" w:rsidRDefault="00A60E73" w:rsidP="00EB555B">
      <w:pPr>
        <w:kinsoku w:val="0"/>
        <w:overflowPunct w:val="0"/>
        <w:spacing w:line="480" w:lineRule="auto"/>
        <w:textAlignment w:val="baseline"/>
        <w:rPr>
          <w:rFonts w:eastAsia="MS PGothic"/>
          <w:b/>
        </w:rPr>
      </w:pPr>
      <w:r w:rsidRPr="00520C7C">
        <w:rPr>
          <w:rFonts w:eastAsia="MS PGothic"/>
          <w:b/>
        </w:rPr>
        <w:t>Data analyses</w:t>
      </w:r>
    </w:p>
    <w:p w14:paraId="2BEB836A" w14:textId="63646FEF" w:rsidR="004C4A50" w:rsidRDefault="004C4A50" w:rsidP="00EB555B">
      <w:pPr>
        <w:kinsoku w:val="0"/>
        <w:overflowPunct w:val="0"/>
        <w:spacing w:line="480" w:lineRule="auto"/>
        <w:textAlignment w:val="baseline"/>
        <w:rPr>
          <w:rFonts w:eastAsia="MS PGothic"/>
          <w:b/>
        </w:rPr>
      </w:pPr>
    </w:p>
    <w:p w14:paraId="1F2710B3" w14:textId="1488ED07" w:rsidR="00ED3346" w:rsidRPr="00ED3346" w:rsidRDefault="00ED3346" w:rsidP="00ED3346">
      <w:pPr>
        <w:spacing w:line="480" w:lineRule="auto"/>
        <w:rPr>
          <w:rFonts w:eastAsia="Calibri"/>
        </w:rPr>
      </w:pPr>
      <w:r w:rsidRPr="00520C7C">
        <w:t>Qualitative data were audio-recorded and transcribed by LN using a thematic process.</w:t>
      </w:r>
      <w:r w:rsidRPr="00520C7C">
        <w:rPr>
          <w:vertAlign w:val="superscript"/>
        </w:rPr>
        <w:t>34</w:t>
      </w:r>
      <w:r w:rsidRPr="00520C7C">
        <w:t xml:space="preserve"> Data were organised according to concepts, key themes and developing categories. Data coding </w:t>
      </w:r>
      <w:proofErr w:type="gramStart"/>
      <w:r w:rsidRPr="00520C7C">
        <w:t>was discussed</w:t>
      </w:r>
      <w:proofErr w:type="gramEnd"/>
      <w:r w:rsidRPr="00520C7C">
        <w:t xml:space="preserve"> with TF, allowing comparison of data interpretation and subsequent coding refinement. Evolving key themes were refined through the analysis process and subsequent cross-sectional thematic labelling of data, thus generating deeper understanding. Where possible, key phrases or expressions identified from interviews and focus groups </w:t>
      </w:r>
      <w:proofErr w:type="gramStart"/>
      <w:r w:rsidRPr="00520C7C">
        <w:t>were retained</w:t>
      </w:r>
      <w:proofErr w:type="gramEnd"/>
      <w:r w:rsidRPr="00520C7C">
        <w:t xml:space="preserve"> within coding and thematic labelling.  </w:t>
      </w:r>
      <w:r w:rsidRPr="00520C7C">
        <w:rPr>
          <w:rFonts w:eastAsia="Calibri"/>
        </w:rPr>
        <w:t xml:space="preserve">A public health colleague helped to verify interpretations of the data and appropriateness of codes applied. Once initial interviews were </w:t>
      </w:r>
      <w:proofErr w:type="gramStart"/>
      <w:r w:rsidRPr="00520C7C">
        <w:rPr>
          <w:rFonts w:eastAsia="Calibri"/>
        </w:rPr>
        <w:t>coded</w:t>
      </w:r>
      <w:proofErr w:type="gramEnd"/>
      <w:r w:rsidRPr="00520C7C">
        <w:rPr>
          <w:rFonts w:eastAsia="Calibri"/>
        </w:rPr>
        <w:t xml:space="preserve"> this framework was applied to remaining data. Notes taken during focus groups helped to contextualise when developing themes and included information about dynamics within groups, such as influence, disagreement, humour and peer exposure. </w:t>
      </w:r>
    </w:p>
    <w:p w14:paraId="2B5DEEF1" w14:textId="77777777" w:rsidR="00ED3346" w:rsidRPr="00520C7C" w:rsidRDefault="00ED3346" w:rsidP="00EB555B">
      <w:pPr>
        <w:kinsoku w:val="0"/>
        <w:overflowPunct w:val="0"/>
        <w:spacing w:line="480" w:lineRule="auto"/>
        <w:textAlignment w:val="baseline"/>
        <w:rPr>
          <w:rFonts w:eastAsia="MS PGothic"/>
          <w:b/>
        </w:rPr>
      </w:pPr>
    </w:p>
    <w:p w14:paraId="457F5718" w14:textId="390A6939" w:rsidR="00EB555B" w:rsidRPr="00520C7C" w:rsidRDefault="000244AA" w:rsidP="000244AA">
      <w:pPr>
        <w:spacing w:after="240" w:line="480" w:lineRule="auto"/>
      </w:pPr>
      <w:r w:rsidRPr="00520C7C">
        <w:t xml:space="preserve">The </w:t>
      </w:r>
      <w:r w:rsidR="00EB5378" w:rsidRPr="00520C7C">
        <w:t xml:space="preserve">anonymised </w:t>
      </w:r>
      <w:r w:rsidR="009B0C27" w:rsidRPr="00520C7C">
        <w:t xml:space="preserve">quantitative </w:t>
      </w:r>
      <w:r w:rsidR="00EB5378" w:rsidRPr="00520C7C">
        <w:t xml:space="preserve">dataset </w:t>
      </w:r>
      <w:r w:rsidRPr="00520C7C">
        <w:t xml:space="preserve">was </w:t>
      </w:r>
      <w:r w:rsidR="009124E6" w:rsidRPr="00520C7C">
        <w:t xml:space="preserve">analysed </w:t>
      </w:r>
      <w:r w:rsidR="00EB5378" w:rsidRPr="00520C7C">
        <w:t xml:space="preserve">using PSAW Statistics V.22. </w:t>
      </w:r>
      <w:r w:rsidR="00887DDE" w:rsidRPr="00520C7C">
        <w:t xml:space="preserve"> </w:t>
      </w:r>
      <w:r w:rsidR="00864F79" w:rsidRPr="00520C7C">
        <w:t>Descriptive statistics were calculated for age, gender, IMD, employment status, initial BMI, leisure site</w:t>
      </w:r>
      <w:r w:rsidR="00404448" w:rsidRPr="00520C7C">
        <w:t>,</w:t>
      </w:r>
      <w:r w:rsidR="00864F79" w:rsidRPr="00520C7C">
        <w:t xml:space="preserve"> level of education, </w:t>
      </w:r>
      <w:r w:rsidR="00404448" w:rsidRPr="00520C7C">
        <w:t>and</w:t>
      </w:r>
      <w:r w:rsidR="00864F79" w:rsidRPr="00520C7C">
        <w:t xml:space="preserve"> uptake and adherence. </w:t>
      </w:r>
      <w:r w:rsidR="00887DDE" w:rsidRPr="00520C7C">
        <w:t xml:space="preserve">Distribution and normality of measures (weight, BMI, waist circumference, </w:t>
      </w:r>
      <w:r w:rsidR="006B32CB" w:rsidRPr="00520C7C">
        <w:t>psychological wellbeing</w:t>
      </w:r>
      <w:r w:rsidR="00887DDE" w:rsidRPr="00520C7C">
        <w:t xml:space="preserve"> and attendance) were assessed using Shapiro Wilk tests</w:t>
      </w:r>
      <w:r w:rsidR="00864F79" w:rsidRPr="00520C7C">
        <w:t xml:space="preserve"> and</w:t>
      </w:r>
      <w:r w:rsidR="00887DDE" w:rsidRPr="00520C7C">
        <w:t xml:space="preserve"> </w:t>
      </w:r>
      <w:r w:rsidR="00864F79" w:rsidRPr="00520C7C">
        <w:t>m</w:t>
      </w:r>
      <w:r w:rsidR="004A0826" w:rsidRPr="00520C7C">
        <w:t xml:space="preserve">edian and interquartile range </w:t>
      </w:r>
      <w:r w:rsidR="00B97AB5" w:rsidRPr="00520C7C">
        <w:t>(IQR) scores</w:t>
      </w:r>
      <w:r w:rsidR="004A0826" w:rsidRPr="00520C7C">
        <w:t xml:space="preserve"> calculated </w:t>
      </w:r>
      <w:r w:rsidR="008B396A" w:rsidRPr="00520C7C">
        <w:t>for each</w:t>
      </w:r>
      <w:r w:rsidR="00FE039A" w:rsidRPr="00520C7C">
        <w:t xml:space="preserve"> </w:t>
      </w:r>
      <w:r w:rsidR="006C30F8" w:rsidRPr="00520C7C">
        <w:t>group</w:t>
      </w:r>
      <w:r w:rsidR="00FE039A" w:rsidRPr="00520C7C">
        <w:t xml:space="preserve"> </w:t>
      </w:r>
      <w:r w:rsidR="004A0826" w:rsidRPr="00520C7C">
        <w:t xml:space="preserve">at baseline and </w:t>
      </w:r>
      <w:r w:rsidR="00F13D75" w:rsidRPr="00520C7C">
        <w:t>12 weeks</w:t>
      </w:r>
      <w:r w:rsidR="004A0826" w:rsidRPr="00520C7C">
        <w:t xml:space="preserve"> </w:t>
      </w:r>
      <w:r w:rsidR="00F13D75" w:rsidRPr="00520C7C">
        <w:t>(attendance</w:t>
      </w:r>
      <w:r w:rsidR="00864F79" w:rsidRPr="00520C7C">
        <w:t>,</w:t>
      </w:r>
      <w:r w:rsidR="00F13D75" w:rsidRPr="00520C7C">
        <w:t xml:space="preserve"> 12 weeks </w:t>
      </w:r>
      <w:r w:rsidR="00F13D75" w:rsidRPr="00A02F48">
        <w:t>only)</w:t>
      </w:r>
      <w:r w:rsidR="004A0826" w:rsidRPr="00A02F48">
        <w:t xml:space="preserve">. </w:t>
      </w:r>
      <w:r w:rsidR="00F25753" w:rsidRPr="00A02F48">
        <w:t xml:space="preserve">Using complete cases, </w:t>
      </w:r>
      <w:r w:rsidR="004A0826" w:rsidRPr="00A02F48">
        <w:t>Kruskal-Wallis H test</w:t>
      </w:r>
      <w:r w:rsidR="008D4CD7" w:rsidRPr="00A02F48">
        <w:t>s</w:t>
      </w:r>
      <w:r w:rsidR="00F25753" w:rsidRPr="00A02F48">
        <w:t xml:space="preserve"> </w:t>
      </w:r>
      <w:proofErr w:type="gramStart"/>
      <w:r w:rsidR="008D4CD7" w:rsidRPr="00A02F48">
        <w:t xml:space="preserve">were </w:t>
      </w:r>
      <w:r w:rsidR="004A0826" w:rsidRPr="00A02F48">
        <w:t>used</w:t>
      </w:r>
      <w:proofErr w:type="gramEnd"/>
      <w:r w:rsidR="004A0826" w:rsidRPr="00A02F48">
        <w:t xml:space="preserve"> to </w:t>
      </w:r>
      <w:r w:rsidR="00F25753" w:rsidRPr="00A02F48">
        <w:t>explore</w:t>
      </w:r>
      <w:r w:rsidR="00F115E5" w:rsidRPr="00A02F48">
        <w:t xml:space="preserve"> </w:t>
      </w:r>
      <w:r w:rsidR="00BD4A60" w:rsidRPr="00B50235">
        <w:t xml:space="preserve">preliminary </w:t>
      </w:r>
      <w:r w:rsidR="00F115E5" w:rsidRPr="00B50235">
        <w:t>between-</w:t>
      </w:r>
      <w:r w:rsidR="004A0826" w:rsidRPr="00B50235">
        <w:t xml:space="preserve">group differences at baseline and </w:t>
      </w:r>
      <w:r w:rsidR="00F115E5" w:rsidRPr="00B50235">
        <w:t xml:space="preserve">at </w:t>
      </w:r>
      <w:r w:rsidR="00FC1BF4" w:rsidRPr="00B50235">
        <w:t>12 weeks</w:t>
      </w:r>
      <w:r w:rsidR="007D121D" w:rsidRPr="00B50235">
        <w:t xml:space="preserve"> and </w:t>
      </w:r>
      <w:r w:rsidR="004A0826" w:rsidRPr="00B50235">
        <w:t>Wilcoxon-signed rank tests ex</w:t>
      </w:r>
      <w:r w:rsidR="00F25753" w:rsidRPr="00B50235">
        <w:t>plored</w:t>
      </w:r>
      <w:r w:rsidR="004A0826" w:rsidRPr="00B50235">
        <w:t xml:space="preserve"> </w:t>
      </w:r>
      <w:r w:rsidR="00BD4A60" w:rsidRPr="00B50235">
        <w:t xml:space="preserve">preliminary </w:t>
      </w:r>
      <w:r w:rsidR="00F115E5" w:rsidRPr="00B50235">
        <w:t xml:space="preserve">repeated </w:t>
      </w:r>
      <w:r w:rsidR="00F115E5" w:rsidRPr="00A02F48">
        <w:t xml:space="preserve">measures </w:t>
      </w:r>
      <w:r w:rsidR="004A0826" w:rsidRPr="00A02F48">
        <w:t xml:space="preserve">differences between baseline and </w:t>
      </w:r>
      <w:r w:rsidR="00FC1BF4" w:rsidRPr="00A02F48">
        <w:t>12-week</w:t>
      </w:r>
      <w:r w:rsidR="004A0826" w:rsidRPr="00A02F48">
        <w:t xml:space="preserve"> scores. </w:t>
      </w:r>
      <w:r w:rsidR="00C37742" w:rsidRPr="00A02F48">
        <w:t>Complete cases</w:t>
      </w:r>
      <w:r w:rsidR="00887DDE" w:rsidRPr="00A02F48">
        <w:t xml:space="preserve"> available </w:t>
      </w:r>
      <w:r w:rsidR="00887DDE" w:rsidRPr="00520C7C">
        <w:t xml:space="preserve">at </w:t>
      </w:r>
      <w:r w:rsidR="00404448" w:rsidRPr="00520C7C">
        <w:t>52 weeks</w:t>
      </w:r>
      <w:r w:rsidR="00B734E5" w:rsidRPr="00520C7C">
        <w:t xml:space="preserve"> </w:t>
      </w:r>
      <w:r w:rsidR="00465B66" w:rsidRPr="00520C7C">
        <w:t>(</w:t>
      </w:r>
      <w:r w:rsidR="00465B66" w:rsidRPr="00520C7C">
        <w:rPr>
          <w:i/>
        </w:rPr>
        <w:t xml:space="preserve">n </w:t>
      </w:r>
      <w:r w:rsidR="00465B66" w:rsidRPr="00520C7C">
        <w:t xml:space="preserve">= </w:t>
      </w:r>
      <w:r w:rsidR="00CD1E89" w:rsidRPr="00520C7C">
        <w:t>37</w:t>
      </w:r>
      <w:r w:rsidR="00465B66" w:rsidRPr="00520C7C">
        <w:t>)</w:t>
      </w:r>
      <w:r w:rsidR="00773C97" w:rsidRPr="00520C7C">
        <w:t xml:space="preserve"> </w:t>
      </w:r>
      <w:r w:rsidR="00887DDE" w:rsidRPr="00520C7C">
        <w:t>were</w:t>
      </w:r>
      <w:r w:rsidR="00924C32" w:rsidRPr="00520C7C">
        <w:t xml:space="preserve"> </w:t>
      </w:r>
      <w:r w:rsidR="00F115E5" w:rsidRPr="00520C7C">
        <w:t xml:space="preserve">considered </w:t>
      </w:r>
      <w:r w:rsidR="005A41A4" w:rsidRPr="00520C7C">
        <w:t>similarly, but via separate analyse</w:t>
      </w:r>
      <w:r w:rsidR="00F115E5" w:rsidRPr="00520C7C">
        <w:t xml:space="preserve">s due to limited available data </w:t>
      </w:r>
      <w:r w:rsidR="007B5B77" w:rsidRPr="00520C7C">
        <w:t xml:space="preserve">across comparison </w:t>
      </w:r>
      <w:r w:rsidR="00F115E5" w:rsidRPr="00520C7C">
        <w:t>groups</w:t>
      </w:r>
      <w:r w:rsidR="00C37742" w:rsidRPr="00520C7C">
        <w:t>.</w:t>
      </w:r>
      <w:r w:rsidR="00BD4A60">
        <w:t xml:space="preserve"> </w:t>
      </w:r>
    </w:p>
    <w:p w14:paraId="44D5A06A" w14:textId="77777777" w:rsidR="00F50C60" w:rsidRPr="00520C7C" w:rsidRDefault="00F50C60" w:rsidP="00EB555B">
      <w:pPr>
        <w:spacing w:line="480" w:lineRule="auto"/>
      </w:pPr>
    </w:p>
    <w:p w14:paraId="05245906" w14:textId="7744C0F8" w:rsidR="000058A7" w:rsidRPr="00520C7C" w:rsidRDefault="000058A7" w:rsidP="00EB555B">
      <w:pPr>
        <w:spacing w:line="480" w:lineRule="auto"/>
        <w:rPr>
          <w:b/>
        </w:rPr>
      </w:pPr>
      <w:r w:rsidRPr="00520C7C">
        <w:rPr>
          <w:b/>
        </w:rPr>
        <w:t>R</w:t>
      </w:r>
      <w:r w:rsidR="00A5629B" w:rsidRPr="00520C7C">
        <w:rPr>
          <w:b/>
        </w:rPr>
        <w:t>ESULTS</w:t>
      </w:r>
    </w:p>
    <w:p w14:paraId="23ABDEC3" w14:textId="77777777" w:rsidR="004C4A50" w:rsidRPr="00520C7C" w:rsidRDefault="004C4A50" w:rsidP="00EB555B">
      <w:pPr>
        <w:spacing w:line="480" w:lineRule="auto"/>
        <w:rPr>
          <w:b/>
        </w:rPr>
      </w:pPr>
    </w:p>
    <w:p w14:paraId="738694C7" w14:textId="517D2630" w:rsidR="00385070" w:rsidRPr="00520C7C" w:rsidRDefault="00385070" w:rsidP="000244AA">
      <w:pPr>
        <w:spacing w:line="480" w:lineRule="auto"/>
      </w:pPr>
      <w:r w:rsidRPr="00520C7C">
        <w:t>Between December 201</w:t>
      </w:r>
      <w:r w:rsidR="003432F9" w:rsidRPr="00520C7C">
        <w:t xml:space="preserve">4 </w:t>
      </w:r>
      <w:r w:rsidRPr="00520C7C">
        <w:t>and March 2016, the programme received</w:t>
      </w:r>
      <w:r w:rsidR="00887C19" w:rsidRPr="00520C7C">
        <w:t xml:space="preserve"> </w:t>
      </w:r>
      <w:r w:rsidRPr="00520C7C">
        <w:t xml:space="preserve">182 referrals and </w:t>
      </w:r>
      <w:proofErr w:type="gramStart"/>
      <w:r w:rsidRPr="00520C7C">
        <w:t>was delivered</w:t>
      </w:r>
      <w:proofErr w:type="gramEnd"/>
      <w:r w:rsidRPr="00520C7C">
        <w:t xml:space="preserve"> in four cohorts across leisure sites. </w:t>
      </w:r>
      <w:r w:rsidR="00404448" w:rsidRPr="00520C7C">
        <w:t xml:space="preserve">Due to initial </w:t>
      </w:r>
      <w:r w:rsidR="0038090F" w:rsidRPr="00520C7C">
        <w:t>low levels of recruitment</w:t>
      </w:r>
      <w:r w:rsidR="00404448" w:rsidRPr="00520C7C">
        <w:t>,</w:t>
      </w:r>
      <w:r w:rsidR="0038090F" w:rsidRPr="00520C7C">
        <w:t xml:space="preserve"> the first cohort did not start until March 2015. </w:t>
      </w:r>
      <w:r w:rsidRPr="00520C7C">
        <w:t xml:space="preserve">Referrals were mainly female (83%) and 30.6% lived in the 20% most deprived areas (table 1). </w:t>
      </w:r>
    </w:p>
    <w:p w14:paraId="492EE0B2" w14:textId="5964C89E" w:rsidR="009445FF" w:rsidRPr="00520C7C" w:rsidRDefault="009445FF" w:rsidP="000244AA">
      <w:pPr>
        <w:spacing w:line="480" w:lineRule="auto"/>
      </w:pPr>
    </w:p>
    <w:p w14:paraId="0A713024" w14:textId="72A4B75C" w:rsidR="009445FF" w:rsidRPr="00520C7C" w:rsidRDefault="009445FF" w:rsidP="000244AA">
      <w:pPr>
        <w:spacing w:line="480" w:lineRule="auto"/>
      </w:pPr>
    </w:p>
    <w:p w14:paraId="341B332B" w14:textId="5A4A2000" w:rsidR="009445FF" w:rsidRPr="00520C7C" w:rsidRDefault="009445FF" w:rsidP="000244AA">
      <w:pPr>
        <w:spacing w:line="480" w:lineRule="auto"/>
      </w:pPr>
    </w:p>
    <w:p w14:paraId="68BA87A0" w14:textId="0CEF47A6" w:rsidR="009445FF" w:rsidRPr="00520C7C" w:rsidRDefault="009445FF" w:rsidP="000244AA">
      <w:pPr>
        <w:spacing w:line="480" w:lineRule="auto"/>
      </w:pPr>
    </w:p>
    <w:p w14:paraId="529C54F7" w14:textId="065988C5" w:rsidR="009445FF" w:rsidRPr="00520C7C" w:rsidRDefault="009445FF" w:rsidP="000244AA">
      <w:pPr>
        <w:spacing w:line="480" w:lineRule="auto"/>
      </w:pPr>
    </w:p>
    <w:p w14:paraId="33E099ED" w14:textId="5D8B0D8C" w:rsidR="009445FF" w:rsidRPr="00520C7C" w:rsidRDefault="009445FF" w:rsidP="000244AA">
      <w:pPr>
        <w:spacing w:line="480" w:lineRule="auto"/>
      </w:pPr>
    </w:p>
    <w:p w14:paraId="3A93A959" w14:textId="16C66283" w:rsidR="009445FF" w:rsidRDefault="009445FF" w:rsidP="000244AA">
      <w:pPr>
        <w:spacing w:line="480" w:lineRule="auto"/>
      </w:pPr>
    </w:p>
    <w:p w14:paraId="53BDF549" w14:textId="3E5929E1" w:rsidR="00ED3346" w:rsidRDefault="00ED3346" w:rsidP="000244AA">
      <w:pPr>
        <w:spacing w:line="480" w:lineRule="auto"/>
      </w:pPr>
    </w:p>
    <w:p w14:paraId="6CD3C218" w14:textId="17FB2F33" w:rsidR="009445FF" w:rsidRPr="00520C7C" w:rsidRDefault="009445FF" w:rsidP="000244AA">
      <w:pPr>
        <w:spacing w:line="480" w:lineRule="auto"/>
      </w:pPr>
    </w:p>
    <w:p w14:paraId="79847A6A" w14:textId="0B9F8690" w:rsidR="0064465A" w:rsidRPr="00520C7C" w:rsidRDefault="00AB124F" w:rsidP="0064465A">
      <w:pPr>
        <w:rPr>
          <w:b/>
          <w:bCs/>
          <w:sz w:val="20"/>
          <w:szCs w:val="20"/>
        </w:rPr>
      </w:pPr>
      <w:r w:rsidRPr="00520C7C">
        <w:rPr>
          <w:b/>
        </w:rPr>
        <w:t>Table 1.</w:t>
      </w:r>
      <w:r w:rsidR="00385070" w:rsidRPr="00520C7C">
        <w:rPr>
          <w:b/>
        </w:rPr>
        <w:t xml:space="preserve"> Demographic characteristics of referrals</w:t>
      </w:r>
      <w:r w:rsidR="002E4091">
        <w:rPr>
          <w:b/>
        </w:rPr>
        <w:t xml:space="preserve"> </w:t>
      </w:r>
      <w:r w:rsidR="002E4091" w:rsidRPr="00A02F48">
        <w:rPr>
          <w:b/>
        </w:rPr>
        <w:t>who started the programme</w:t>
      </w:r>
      <w:r w:rsidR="0064465A" w:rsidRPr="00A02F48">
        <w:rPr>
          <w:b/>
        </w:rPr>
        <w:t xml:space="preserve"> (</w:t>
      </w:r>
      <w:r w:rsidR="0064465A" w:rsidRPr="00A02F48">
        <w:rPr>
          <w:b/>
          <w:bCs/>
          <w:sz w:val="20"/>
          <w:szCs w:val="20"/>
        </w:rPr>
        <w:t>n=</w:t>
      </w:r>
      <w:r w:rsidR="002E4091" w:rsidRPr="00A02F48">
        <w:rPr>
          <w:b/>
          <w:bCs/>
          <w:sz w:val="20"/>
          <w:szCs w:val="20"/>
        </w:rPr>
        <w:t>153</w:t>
      </w:r>
      <w:r w:rsidR="0064465A" w:rsidRPr="00A02F48">
        <w:rPr>
          <w:b/>
          <w:bCs/>
          <w:sz w:val="20"/>
          <w:szCs w:val="20"/>
        </w:rPr>
        <w:t>)</w:t>
      </w:r>
    </w:p>
    <w:p w14:paraId="50E51697" w14:textId="14015BF1" w:rsidR="00385070" w:rsidRPr="00520C7C" w:rsidRDefault="00385070" w:rsidP="00EB555B">
      <w:pPr>
        <w:spacing w:line="48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984"/>
        <w:gridCol w:w="1985"/>
      </w:tblGrid>
      <w:tr w:rsidR="00520C7C" w:rsidRPr="00520C7C" w14:paraId="26EEE0E3" w14:textId="77777777" w:rsidTr="00351B37">
        <w:tc>
          <w:tcPr>
            <w:tcW w:w="2694" w:type="dxa"/>
            <w:shd w:val="clear" w:color="auto" w:fill="EEECE1" w:themeFill="background2"/>
            <w:vAlign w:val="center"/>
          </w:tcPr>
          <w:p w14:paraId="7FA07C5D" w14:textId="24F0E2BF" w:rsidR="00385070" w:rsidRPr="00520C7C" w:rsidRDefault="00385070" w:rsidP="0064465A">
            <w:pPr>
              <w:rPr>
                <w:b/>
                <w:bCs/>
                <w:sz w:val="20"/>
                <w:szCs w:val="20"/>
              </w:rPr>
            </w:pPr>
          </w:p>
        </w:tc>
        <w:tc>
          <w:tcPr>
            <w:tcW w:w="1984" w:type="dxa"/>
            <w:shd w:val="clear" w:color="auto" w:fill="EEECE1" w:themeFill="background2"/>
            <w:vAlign w:val="center"/>
          </w:tcPr>
          <w:p w14:paraId="4ACFF000" w14:textId="77777777" w:rsidR="00385070" w:rsidRPr="00520C7C" w:rsidRDefault="00385070" w:rsidP="008E5C05">
            <w:pPr>
              <w:rPr>
                <w:b/>
                <w:sz w:val="20"/>
                <w:szCs w:val="20"/>
              </w:rPr>
            </w:pPr>
            <w:r w:rsidRPr="00520C7C">
              <w:rPr>
                <w:b/>
                <w:sz w:val="20"/>
                <w:szCs w:val="20"/>
              </w:rPr>
              <w:t>Median</w:t>
            </w:r>
          </w:p>
        </w:tc>
        <w:tc>
          <w:tcPr>
            <w:tcW w:w="1985" w:type="dxa"/>
            <w:shd w:val="clear" w:color="auto" w:fill="EEECE1" w:themeFill="background2"/>
            <w:vAlign w:val="center"/>
          </w:tcPr>
          <w:p w14:paraId="2636FF5A" w14:textId="77777777" w:rsidR="00385070" w:rsidRPr="00520C7C" w:rsidRDefault="00385070" w:rsidP="008E5C05">
            <w:pPr>
              <w:rPr>
                <w:b/>
                <w:sz w:val="20"/>
                <w:szCs w:val="20"/>
              </w:rPr>
            </w:pPr>
            <w:r w:rsidRPr="00520C7C">
              <w:rPr>
                <w:b/>
                <w:sz w:val="20"/>
                <w:szCs w:val="20"/>
              </w:rPr>
              <w:t>IQR</w:t>
            </w:r>
          </w:p>
        </w:tc>
      </w:tr>
      <w:tr w:rsidR="00520C7C" w:rsidRPr="00520C7C" w14:paraId="58BF5E38" w14:textId="77777777" w:rsidTr="00351B37">
        <w:trPr>
          <w:trHeight w:val="284"/>
        </w:trPr>
        <w:tc>
          <w:tcPr>
            <w:tcW w:w="2694" w:type="dxa"/>
            <w:shd w:val="clear" w:color="auto" w:fill="EEECE1" w:themeFill="background2"/>
            <w:vAlign w:val="center"/>
          </w:tcPr>
          <w:p w14:paraId="353618FE" w14:textId="6C2A7ADC" w:rsidR="00385070" w:rsidRPr="00520C7C" w:rsidRDefault="008E5C05" w:rsidP="00EB555B">
            <w:pPr>
              <w:rPr>
                <w:sz w:val="20"/>
                <w:szCs w:val="20"/>
              </w:rPr>
            </w:pPr>
            <w:r w:rsidRPr="00520C7C">
              <w:rPr>
                <w:b/>
                <w:bCs/>
                <w:sz w:val="20"/>
                <w:szCs w:val="20"/>
              </w:rPr>
              <w:t>Age (years</w:t>
            </w:r>
            <w:r w:rsidR="0064465A" w:rsidRPr="00520C7C">
              <w:rPr>
                <w:b/>
                <w:bCs/>
                <w:sz w:val="20"/>
                <w:szCs w:val="20"/>
              </w:rPr>
              <w:t>)</w:t>
            </w:r>
            <w:r w:rsidRPr="00520C7C">
              <w:rPr>
                <w:b/>
                <w:bCs/>
                <w:sz w:val="20"/>
                <w:szCs w:val="20"/>
              </w:rPr>
              <w:t xml:space="preserve"> </w:t>
            </w:r>
          </w:p>
        </w:tc>
        <w:tc>
          <w:tcPr>
            <w:tcW w:w="1984" w:type="dxa"/>
            <w:shd w:val="clear" w:color="auto" w:fill="auto"/>
            <w:vAlign w:val="center"/>
          </w:tcPr>
          <w:p w14:paraId="77698869" w14:textId="77777777" w:rsidR="00385070" w:rsidRPr="00F97013" w:rsidRDefault="00385070" w:rsidP="008E5C05">
            <w:pPr>
              <w:jc w:val="right"/>
              <w:rPr>
                <w:sz w:val="20"/>
                <w:szCs w:val="20"/>
              </w:rPr>
            </w:pPr>
            <w:r w:rsidRPr="00F97013">
              <w:rPr>
                <w:sz w:val="20"/>
                <w:szCs w:val="20"/>
              </w:rPr>
              <w:t>53</w:t>
            </w:r>
          </w:p>
        </w:tc>
        <w:tc>
          <w:tcPr>
            <w:tcW w:w="1985" w:type="dxa"/>
            <w:shd w:val="clear" w:color="auto" w:fill="auto"/>
            <w:vAlign w:val="center"/>
          </w:tcPr>
          <w:p w14:paraId="26A31091" w14:textId="77777777" w:rsidR="00385070" w:rsidRPr="00F97013" w:rsidRDefault="00385070" w:rsidP="008E5C05">
            <w:pPr>
              <w:jc w:val="right"/>
              <w:rPr>
                <w:sz w:val="20"/>
                <w:szCs w:val="20"/>
              </w:rPr>
            </w:pPr>
            <w:r w:rsidRPr="00F97013">
              <w:rPr>
                <w:sz w:val="20"/>
                <w:szCs w:val="20"/>
              </w:rPr>
              <w:t>24</w:t>
            </w:r>
          </w:p>
        </w:tc>
      </w:tr>
      <w:tr w:rsidR="00520C7C" w:rsidRPr="00520C7C" w14:paraId="6A12EC01" w14:textId="77777777" w:rsidTr="00351B37">
        <w:trPr>
          <w:trHeight w:val="284"/>
        </w:trPr>
        <w:tc>
          <w:tcPr>
            <w:tcW w:w="2694" w:type="dxa"/>
            <w:shd w:val="clear" w:color="auto" w:fill="FFFFFF" w:themeFill="background1"/>
            <w:vAlign w:val="center"/>
          </w:tcPr>
          <w:p w14:paraId="632ED804" w14:textId="77777777" w:rsidR="0064465A" w:rsidRPr="00520C7C" w:rsidRDefault="0064465A" w:rsidP="00EB555B">
            <w:pPr>
              <w:rPr>
                <w:b/>
                <w:bCs/>
                <w:sz w:val="20"/>
                <w:szCs w:val="20"/>
              </w:rPr>
            </w:pPr>
          </w:p>
        </w:tc>
        <w:tc>
          <w:tcPr>
            <w:tcW w:w="1984" w:type="dxa"/>
            <w:shd w:val="clear" w:color="auto" w:fill="FFFFFF" w:themeFill="background1"/>
            <w:vAlign w:val="center"/>
          </w:tcPr>
          <w:p w14:paraId="172203CC" w14:textId="77777777" w:rsidR="0064465A" w:rsidRPr="00F97013" w:rsidRDefault="0064465A" w:rsidP="008E5C05">
            <w:pPr>
              <w:jc w:val="right"/>
              <w:rPr>
                <w:b/>
                <w:sz w:val="20"/>
                <w:szCs w:val="20"/>
              </w:rPr>
            </w:pPr>
          </w:p>
        </w:tc>
        <w:tc>
          <w:tcPr>
            <w:tcW w:w="1985" w:type="dxa"/>
            <w:shd w:val="clear" w:color="auto" w:fill="FFFFFF" w:themeFill="background1"/>
            <w:vAlign w:val="center"/>
          </w:tcPr>
          <w:p w14:paraId="0EF863A2" w14:textId="77777777" w:rsidR="0064465A" w:rsidRPr="00F97013" w:rsidRDefault="0064465A" w:rsidP="008E5C05">
            <w:pPr>
              <w:jc w:val="right"/>
              <w:rPr>
                <w:b/>
                <w:sz w:val="20"/>
                <w:szCs w:val="20"/>
              </w:rPr>
            </w:pPr>
          </w:p>
        </w:tc>
      </w:tr>
      <w:tr w:rsidR="00520C7C" w:rsidRPr="00520C7C" w14:paraId="1BBFCF78" w14:textId="77777777" w:rsidTr="00351B37">
        <w:trPr>
          <w:trHeight w:val="284"/>
        </w:trPr>
        <w:tc>
          <w:tcPr>
            <w:tcW w:w="2694" w:type="dxa"/>
            <w:shd w:val="clear" w:color="auto" w:fill="EEECE1" w:themeFill="background2"/>
            <w:vAlign w:val="center"/>
          </w:tcPr>
          <w:p w14:paraId="408E787D" w14:textId="01F9F8F0" w:rsidR="00385070" w:rsidRPr="00520C7C" w:rsidRDefault="00385070" w:rsidP="002E4091">
            <w:pPr>
              <w:rPr>
                <w:sz w:val="20"/>
                <w:szCs w:val="20"/>
              </w:rPr>
            </w:pPr>
            <w:r w:rsidRPr="00520C7C">
              <w:rPr>
                <w:b/>
                <w:bCs/>
                <w:sz w:val="20"/>
                <w:szCs w:val="20"/>
              </w:rPr>
              <w:t xml:space="preserve">Gender </w:t>
            </w:r>
          </w:p>
        </w:tc>
        <w:tc>
          <w:tcPr>
            <w:tcW w:w="1984" w:type="dxa"/>
            <w:shd w:val="clear" w:color="auto" w:fill="EEECE1" w:themeFill="background2"/>
            <w:vAlign w:val="center"/>
          </w:tcPr>
          <w:p w14:paraId="34B12DB3" w14:textId="77777777" w:rsidR="00385070" w:rsidRPr="00F97013" w:rsidRDefault="00385070" w:rsidP="008E5C05">
            <w:pPr>
              <w:jc w:val="right"/>
              <w:rPr>
                <w:b/>
                <w:sz w:val="20"/>
                <w:szCs w:val="20"/>
              </w:rPr>
            </w:pPr>
            <w:r w:rsidRPr="00F97013">
              <w:rPr>
                <w:b/>
                <w:sz w:val="20"/>
                <w:szCs w:val="20"/>
              </w:rPr>
              <w:t>n</w:t>
            </w:r>
          </w:p>
        </w:tc>
        <w:tc>
          <w:tcPr>
            <w:tcW w:w="1985" w:type="dxa"/>
            <w:shd w:val="clear" w:color="auto" w:fill="EEECE1" w:themeFill="background2"/>
            <w:vAlign w:val="center"/>
          </w:tcPr>
          <w:p w14:paraId="0C330126" w14:textId="77777777" w:rsidR="00385070" w:rsidRPr="00F97013" w:rsidRDefault="00385070" w:rsidP="008E5C05">
            <w:pPr>
              <w:jc w:val="right"/>
              <w:rPr>
                <w:b/>
                <w:sz w:val="20"/>
                <w:szCs w:val="20"/>
              </w:rPr>
            </w:pPr>
            <w:r w:rsidRPr="00F97013">
              <w:rPr>
                <w:b/>
                <w:sz w:val="20"/>
                <w:szCs w:val="20"/>
              </w:rPr>
              <w:t>%</w:t>
            </w:r>
          </w:p>
        </w:tc>
      </w:tr>
      <w:tr w:rsidR="00520C7C" w:rsidRPr="00520C7C" w14:paraId="2AA0F46D" w14:textId="77777777" w:rsidTr="00351B37">
        <w:trPr>
          <w:trHeight w:val="284"/>
        </w:trPr>
        <w:tc>
          <w:tcPr>
            <w:tcW w:w="2694" w:type="dxa"/>
            <w:shd w:val="clear" w:color="auto" w:fill="auto"/>
            <w:vAlign w:val="center"/>
          </w:tcPr>
          <w:p w14:paraId="2886FF12" w14:textId="55A3C995" w:rsidR="00385070" w:rsidRPr="00520C7C" w:rsidRDefault="00385070" w:rsidP="00EB555B">
            <w:pPr>
              <w:rPr>
                <w:sz w:val="20"/>
                <w:szCs w:val="20"/>
              </w:rPr>
            </w:pPr>
            <w:r w:rsidRPr="00520C7C">
              <w:rPr>
                <w:sz w:val="20"/>
                <w:szCs w:val="20"/>
              </w:rPr>
              <w:t>Male</w:t>
            </w:r>
          </w:p>
        </w:tc>
        <w:tc>
          <w:tcPr>
            <w:tcW w:w="1984" w:type="dxa"/>
            <w:shd w:val="clear" w:color="auto" w:fill="auto"/>
            <w:vAlign w:val="center"/>
          </w:tcPr>
          <w:p w14:paraId="5DF40C29" w14:textId="6DCFD29F" w:rsidR="00385070" w:rsidRPr="00F97013" w:rsidRDefault="002E4091" w:rsidP="008E5C05">
            <w:pPr>
              <w:jc w:val="right"/>
              <w:rPr>
                <w:sz w:val="20"/>
                <w:szCs w:val="20"/>
              </w:rPr>
            </w:pPr>
            <w:r w:rsidRPr="00F97013">
              <w:rPr>
                <w:sz w:val="20"/>
                <w:szCs w:val="20"/>
              </w:rPr>
              <w:t>25</w:t>
            </w:r>
          </w:p>
        </w:tc>
        <w:tc>
          <w:tcPr>
            <w:tcW w:w="1985" w:type="dxa"/>
            <w:shd w:val="clear" w:color="auto" w:fill="auto"/>
            <w:vAlign w:val="center"/>
          </w:tcPr>
          <w:p w14:paraId="76836AB1" w14:textId="58D009E2" w:rsidR="00385070" w:rsidRPr="00F97013" w:rsidRDefault="002E4091" w:rsidP="008E5C05">
            <w:pPr>
              <w:jc w:val="right"/>
              <w:rPr>
                <w:sz w:val="20"/>
                <w:szCs w:val="20"/>
              </w:rPr>
            </w:pPr>
            <w:r w:rsidRPr="00F97013">
              <w:rPr>
                <w:sz w:val="20"/>
                <w:szCs w:val="20"/>
              </w:rPr>
              <w:t>16.3</w:t>
            </w:r>
            <w:r w:rsidR="00385070" w:rsidRPr="00F97013">
              <w:rPr>
                <w:sz w:val="20"/>
                <w:szCs w:val="20"/>
              </w:rPr>
              <w:t>%</w:t>
            </w:r>
          </w:p>
        </w:tc>
      </w:tr>
      <w:tr w:rsidR="00520C7C" w:rsidRPr="00520C7C" w14:paraId="33C8C012" w14:textId="77777777" w:rsidTr="00351B37">
        <w:trPr>
          <w:trHeight w:val="284"/>
        </w:trPr>
        <w:tc>
          <w:tcPr>
            <w:tcW w:w="2694" w:type="dxa"/>
            <w:shd w:val="clear" w:color="auto" w:fill="auto"/>
            <w:vAlign w:val="center"/>
          </w:tcPr>
          <w:p w14:paraId="7BCDB144" w14:textId="39ECE803" w:rsidR="00385070" w:rsidRPr="00520C7C" w:rsidRDefault="00385070" w:rsidP="00EB555B">
            <w:pPr>
              <w:rPr>
                <w:sz w:val="20"/>
                <w:szCs w:val="20"/>
              </w:rPr>
            </w:pPr>
            <w:r w:rsidRPr="00520C7C">
              <w:rPr>
                <w:sz w:val="20"/>
                <w:szCs w:val="20"/>
              </w:rPr>
              <w:t>Female</w:t>
            </w:r>
          </w:p>
        </w:tc>
        <w:tc>
          <w:tcPr>
            <w:tcW w:w="1984" w:type="dxa"/>
            <w:shd w:val="clear" w:color="auto" w:fill="auto"/>
            <w:vAlign w:val="center"/>
          </w:tcPr>
          <w:p w14:paraId="1D167C56" w14:textId="40181811" w:rsidR="00385070" w:rsidRPr="00F97013" w:rsidRDefault="002E4091" w:rsidP="008E5C05">
            <w:pPr>
              <w:jc w:val="right"/>
              <w:rPr>
                <w:sz w:val="20"/>
                <w:szCs w:val="20"/>
              </w:rPr>
            </w:pPr>
            <w:r w:rsidRPr="00F97013">
              <w:rPr>
                <w:sz w:val="20"/>
                <w:szCs w:val="20"/>
              </w:rPr>
              <w:t>120</w:t>
            </w:r>
          </w:p>
        </w:tc>
        <w:tc>
          <w:tcPr>
            <w:tcW w:w="1985" w:type="dxa"/>
            <w:shd w:val="clear" w:color="auto" w:fill="auto"/>
            <w:vAlign w:val="center"/>
          </w:tcPr>
          <w:p w14:paraId="02ACA1D3" w14:textId="77600C67" w:rsidR="00385070" w:rsidRPr="00F97013" w:rsidRDefault="002E4091" w:rsidP="008E5C05">
            <w:pPr>
              <w:jc w:val="right"/>
              <w:rPr>
                <w:sz w:val="20"/>
                <w:szCs w:val="20"/>
              </w:rPr>
            </w:pPr>
            <w:r w:rsidRPr="00F97013">
              <w:rPr>
                <w:sz w:val="20"/>
                <w:szCs w:val="20"/>
              </w:rPr>
              <w:t>78.4</w:t>
            </w:r>
            <w:r w:rsidR="00385070" w:rsidRPr="00F97013">
              <w:rPr>
                <w:sz w:val="20"/>
                <w:szCs w:val="20"/>
              </w:rPr>
              <w:t>%</w:t>
            </w:r>
          </w:p>
        </w:tc>
      </w:tr>
      <w:tr w:rsidR="002E4091" w:rsidRPr="00520C7C" w14:paraId="1BAA1C7A" w14:textId="77777777" w:rsidTr="00351B37">
        <w:trPr>
          <w:trHeight w:val="284"/>
        </w:trPr>
        <w:tc>
          <w:tcPr>
            <w:tcW w:w="2694" w:type="dxa"/>
            <w:shd w:val="clear" w:color="auto" w:fill="auto"/>
            <w:vAlign w:val="center"/>
          </w:tcPr>
          <w:p w14:paraId="2B189A0E" w14:textId="25A2329D" w:rsidR="002E4091" w:rsidRPr="00520C7C" w:rsidRDefault="002E4091" w:rsidP="00D95175">
            <w:pPr>
              <w:rPr>
                <w:sz w:val="20"/>
                <w:szCs w:val="20"/>
              </w:rPr>
            </w:pPr>
            <w:r>
              <w:rPr>
                <w:sz w:val="20"/>
                <w:szCs w:val="20"/>
              </w:rPr>
              <w:t xml:space="preserve">Not </w:t>
            </w:r>
            <w:r w:rsidR="00D95175">
              <w:rPr>
                <w:sz w:val="20"/>
                <w:szCs w:val="20"/>
              </w:rPr>
              <w:t>stated</w:t>
            </w:r>
          </w:p>
        </w:tc>
        <w:tc>
          <w:tcPr>
            <w:tcW w:w="1984" w:type="dxa"/>
            <w:shd w:val="clear" w:color="auto" w:fill="auto"/>
            <w:vAlign w:val="center"/>
          </w:tcPr>
          <w:p w14:paraId="69DACBE6" w14:textId="58D8602B" w:rsidR="002E4091" w:rsidRPr="00F97013" w:rsidRDefault="002E4091" w:rsidP="008E5C05">
            <w:pPr>
              <w:jc w:val="right"/>
              <w:rPr>
                <w:sz w:val="20"/>
                <w:szCs w:val="20"/>
              </w:rPr>
            </w:pPr>
            <w:r w:rsidRPr="00F97013">
              <w:rPr>
                <w:sz w:val="20"/>
                <w:szCs w:val="20"/>
              </w:rPr>
              <w:t>8</w:t>
            </w:r>
          </w:p>
        </w:tc>
        <w:tc>
          <w:tcPr>
            <w:tcW w:w="1985" w:type="dxa"/>
            <w:shd w:val="clear" w:color="auto" w:fill="auto"/>
            <w:vAlign w:val="center"/>
          </w:tcPr>
          <w:p w14:paraId="09CD14F8" w14:textId="766B3778" w:rsidR="002E4091" w:rsidRPr="00F97013" w:rsidRDefault="002E4091" w:rsidP="008E5C05">
            <w:pPr>
              <w:jc w:val="right"/>
              <w:rPr>
                <w:sz w:val="20"/>
                <w:szCs w:val="20"/>
              </w:rPr>
            </w:pPr>
            <w:r w:rsidRPr="00F97013">
              <w:rPr>
                <w:sz w:val="20"/>
                <w:szCs w:val="20"/>
              </w:rPr>
              <w:t>5.2%</w:t>
            </w:r>
          </w:p>
        </w:tc>
      </w:tr>
      <w:tr w:rsidR="00520C7C" w:rsidRPr="00520C7C" w14:paraId="58C07DC3" w14:textId="77777777" w:rsidTr="00351B37">
        <w:trPr>
          <w:trHeight w:val="284"/>
        </w:trPr>
        <w:tc>
          <w:tcPr>
            <w:tcW w:w="6663" w:type="dxa"/>
            <w:gridSpan w:val="3"/>
            <w:shd w:val="clear" w:color="auto" w:fill="EEECE1" w:themeFill="background2"/>
            <w:vAlign w:val="center"/>
          </w:tcPr>
          <w:p w14:paraId="377D30A8" w14:textId="3AC8CF84" w:rsidR="00385070" w:rsidRPr="00F97013" w:rsidRDefault="00174120" w:rsidP="002E4091">
            <w:pPr>
              <w:rPr>
                <w:sz w:val="20"/>
                <w:szCs w:val="20"/>
              </w:rPr>
            </w:pPr>
            <w:r w:rsidRPr="00F97013">
              <w:rPr>
                <w:b/>
                <w:sz w:val="20"/>
                <w:szCs w:val="20"/>
              </w:rPr>
              <w:t>Initial BMI</w:t>
            </w:r>
            <w:r w:rsidR="00385070" w:rsidRPr="00F97013">
              <w:rPr>
                <w:b/>
                <w:sz w:val="20"/>
                <w:szCs w:val="20"/>
              </w:rPr>
              <w:t xml:space="preserve"> category </w:t>
            </w:r>
            <w:r w:rsidR="00385070" w:rsidRPr="00F97013">
              <w:rPr>
                <w:sz w:val="20"/>
                <w:szCs w:val="20"/>
              </w:rPr>
              <w:t>(</w:t>
            </w:r>
            <w:r w:rsidR="00385070" w:rsidRPr="00F97013">
              <w:rPr>
                <w:b/>
                <w:sz w:val="20"/>
                <w:szCs w:val="20"/>
              </w:rPr>
              <w:t>kg/m</w:t>
            </w:r>
            <w:r w:rsidR="00385070" w:rsidRPr="00F97013">
              <w:rPr>
                <w:b/>
                <w:sz w:val="20"/>
                <w:szCs w:val="20"/>
                <w:vertAlign w:val="superscript"/>
              </w:rPr>
              <w:t>2</w:t>
            </w:r>
            <w:r w:rsidR="00385070" w:rsidRPr="00F97013">
              <w:rPr>
                <w:b/>
                <w:sz w:val="20"/>
                <w:szCs w:val="20"/>
              </w:rPr>
              <w:t xml:space="preserve">) </w:t>
            </w:r>
          </w:p>
        </w:tc>
      </w:tr>
      <w:tr w:rsidR="00520C7C" w:rsidRPr="00520C7C" w14:paraId="1A795994" w14:textId="77777777" w:rsidTr="00351B37">
        <w:trPr>
          <w:trHeight w:val="284"/>
        </w:trPr>
        <w:tc>
          <w:tcPr>
            <w:tcW w:w="2694" w:type="dxa"/>
            <w:shd w:val="clear" w:color="auto" w:fill="auto"/>
            <w:vAlign w:val="center"/>
          </w:tcPr>
          <w:p w14:paraId="6BA58EC9" w14:textId="106C9C13" w:rsidR="00385070" w:rsidRPr="00520C7C" w:rsidRDefault="00385070" w:rsidP="00EB555B">
            <w:pPr>
              <w:rPr>
                <w:sz w:val="20"/>
                <w:szCs w:val="20"/>
              </w:rPr>
            </w:pPr>
            <w:r w:rsidRPr="00520C7C">
              <w:rPr>
                <w:sz w:val="20"/>
                <w:szCs w:val="20"/>
              </w:rPr>
              <w:t>25.0-29.9</w:t>
            </w:r>
          </w:p>
        </w:tc>
        <w:tc>
          <w:tcPr>
            <w:tcW w:w="1984" w:type="dxa"/>
            <w:shd w:val="clear" w:color="auto" w:fill="auto"/>
            <w:vAlign w:val="center"/>
          </w:tcPr>
          <w:p w14:paraId="496392E8" w14:textId="77777777" w:rsidR="00385070" w:rsidRPr="00F97013" w:rsidRDefault="00385070" w:rsidP="008E5C05">
            <w:pPr>
              <w:jc w:val="right"/>
              <w:rPr>
                <w:sz w:val="20"/>
                <w:szCs w:val="20"/>
              </w:rPr>
            </w:pPr>
            <w:r w:rsidRPr="00F97013">
              <w:rPr>
                <w:sz w:val="20"/>
                <w:szCs w:val="20"/>
              </w:rPr>
              <w:t>40</w:t>
            </w:r>
          </w:p>
        </w:tc>
        <w:tc>
          <w:tcPr>
            <w:tcW w:w="1985" w:type="dxa"/>
            <w:shd w:val="clear" w:color="auto" w:fill="auto"/>
            <w:vAlign w:val="center"/>
          </w:tcPr>
          <w:p w14:paraId="0C0798B0" w14:textId="44CDDDC9" w:rsidR="00385070" w:rsidRPr="00F97013" w:rsidRDefault="006259C2" w:rsidP="008E5C05">
            <w:pPr>
              <w:jc w:val="right"/>
              <w:rPr>
                <w:sz w:val="20"/>
                <w:szCs w:val="20"/>
              </w:rPr>
            </w:pPr>
            <w:r w:rsidRPr="00F97013">
              <w:rPr>
                <w:sz w:val="20"/>
                <w:szCs w:val="20"/>
              </w:rPr>
              <w:t>26.1</w:t>
            </w:r>
            <w:r w:rsidR="00385070" w:rsidRPr="00F97013">
              <w:rPr>
                <w:sz w:val="20"/>
                <w:szCs w:val="20"/>
              </w:rPr>
              <w:t>%</w:t>
            </w:r>
          </w:p>
        </w:tc>
      </w:tr>
      <w:tr w:rsidR="00520C7C" w:rsidRPr="00520C7C" w14:paraId="01B1870E" w14:textId="77777777" w:rsidTr="00351B37">
        <w:trPr>
          <w:trHeight w:val="284"/>
        </w:trPr>
        <w:tc>
          <w:tcPr>
            <w:tcW w:w="2694" w:type="dxa"/>
            <w:shd w:val="clear" w:color="auto" w:fill="auto"/>
            <w:vAlign w:val="center"/>
          </w:tcPr>
          <w:p w14:paraId="3C6E3ABD" w14:textId="4EB5D78E" w:rsidR="00385070" w:rsidRPr="00520C7C" w:rsidRDefault="00385070" w:rsidP="00EB555B">
            <w:pPr>
              <w:rPr>
                <w:sz w:val="20"/>
                <w:szCs w:val="20"/>
              </w:rPr>
            </w:pPr>
            <w:r w:rsidRPr="00520C7C">
              <w:rPr>
                <w:sz w:val="20"/>
                <w:szCs w:val="20"/>
              </w:rPr>
              <w:t>30.0-34.9</w:t>
            </w:r>
          </w:p>
        </w:tc>
        <w:tc>
          <w:tcPr>
            <w:tcW w:w="1984" w:type="dxa"/>
            <w:shd w:val="clear" w:color="auto" w:fill="auto"/>
            <w:vAlign w:val="center"/>
          </w:tcPr>
          <w:p w14:paraId="6BD0326F" w14:textId="77777777" w:rsidR="00385070" w:rsidRPr="00F97013" w:rsidRDefault="00385070" w:rsidP="008E5C05">
            <w:pPr>
              <w:jc w:val="right"/>
              <w:rPr>
                <w:sz w:val="20"/>
                <w:szCs w:val="20"/>
              </w:rPr>
            </w:pPr>
            <w:r w:rsidRPr="00F97013">
              <w:rPr>
                <w:sz w:val="20"/>
                <w:szCs w:val="20"/>
              </w:rPr>
              <w:t>73</w:t>
            </w:r>
          </w:p>
        </w:tc>
        <w:tc>
          <w:tcPr>
            <w:tcW w:w="1985" w:type="dxa"/>
            <w:shd w:val="clear" w:color="auto" w:fill="auto"/>
            <w:vAlign w:val="center"/>
          </w:tcPr>
          <w:p w14:paraId="2D2BBAFF" w14:textId="28C231E7" w:rsidR="00385070" w:rsidRPr="00F97013" w:rsidRDefault="006259C2" w:rsidP="008E5C05">
            <w:pPr>
              <w:jc w:val="right"/>
              <w:rPr>
                <w:sz w:val="20"/>
                <w:szCs w:val="20"/>
              </w:rPr>
            </w:pPr>
            <w:r w:rsidRPr="00F97013">
              <w:rPr>
                <w:sz w:val="20"/>
                <w:szCs w:val="20"/>
              </w:rPr>
              <w:t>-47.7</w:t>
            </w:r>
            <w:r w:rsidR="00385070" w:rsidRPr="00F97013">
              <w:rPr>
                <w:sz w:val="20"/>
                <w:szCs w:val="20"/>
              </w:rPr>
              <w:t>%</w:t>
            </w:r>
          </w:p>
        </w:tc>
      </w:tr>
      <w:tr w:rsidR="00520C7C" w:rsidRPr="00520C7C" w14:paraId="0077998C" w14:textId="77777777" w:rsidTr="00351B37">
        <w:trPr>
          <w:trHeight w:val="284"/>
        </w:trPr>
        <w:tc>
          <w:tcPr>
            <w:tcW w:w="2694" w:type="dxa"/>
            <w:shd w:val="clear" w:color="auto" w:fill="auto"/>
            <w:vAlign w:val="center"/>
          </w:tcPr>
          <w:p w14:paraId="1296E354" w14:textId="061FD5AD" w:rsidR="00385070" w:rsidRPr="00520C7C" w:rsidRDefault="00385070" w:rsidP="00EB555B">
            <w:pPr>
              <w:rPr>
                <w:sz w:val="20"/>
                <w:szCs w:val="20"/>
              </w:rPr>
            </w:pPr>
            <w:r w:rsidRPr="00520C7C">
              <w:rPr>
                <w:sz w:val="20"/>
                <w:szCs w:val="20"/>
              </w:rPr>
              <w:t>35.0-39.9</w:t>
            </w:r>
          </w:p>
        </w:tc>
        <w:tc>
          <w:tcPr>
            <w:tcW w:w="1984" w:type="dxa"/>
            <w:shd w:val="clear" w:color="auto" w:fill="auto"/>
            <w:vAlign w:val="center"/>
          </w:tcPr>
          <w:p w14:paraId="419BCCAF" w14:textId="77777777" w:rsidR="00385070" w:rsidRPr="00F97013" w:rsidRDefault="00385070" w:rsidP="008E5C05">
            <w:pPr>
              <w:jc w:val="right"/>
              <w:rPr>
                <w:sz w:val="20"/>
                <w:szCs w:val="20"/>
              </w:rPr>
            </w:pPr>
            <w:r w:rsidRPr="00F97013">
              <w:rPr>
                <w:sz w:val="20"/>
                <w:szCs w:val="20"/>
              </w:rPr>
              <w:t>27</w:t>
            </w:r>
          </w:p>
        </w:tc>
        <w:tc>
          <w:tcPr>
            <w:tcW w:w="1985" w:type="dxa"/>
            <w:shd w:val="clear" w:color="auto" w:fill="auto"/>
            <w:vAlign w:val="center"/>
          </w:tcPr>
          <w:p w14:paraId="110824C7" w14:textId="3D012224" w:rsidR="00385070" w:rsidRPr="00F97013" w:rsidRDefault="006259C2" w:rsidP="008E5C05">
            <w:pPr>
              <w:jc w:val="right"/>
              <w:rPr>
                <w:sz w:val="20"/>
                <w:szCs w:val="20"/>
              </w:rPr>
            </w:pPr>
            <w:r w:rsidRPr="00F97013">
              <w:rPr>
                <w:sz w:val="20"/>
                <w:szCs w:val="20"/>
              </w:rPr>
              <w:t>17.6</w:t>
            </w:r>
            <w:r w:rsidR="00385070" w:rsidRPr="00F97013">
              <w:rPr>
                <w:sz w:val="20"/>
                <w:szCs w:val="20"/>
              </w:rPr>
              <w:t>%</w:t>
            </w:r>
          </w:p>
        </w:tc>
      </w:tr>
      <w:tr w:rsidR="00520C7C" w:rsidRPr="00520C7C" w14:paraId="21CDD19C" w14:textId="77777777" w:rsidTr="00351B37">
        <w:trPr>
          <w:trHeight w:val="284"/>
        </w:trPr>
        <w:tc>
          <w:tcPr>
            <w:tcW w:w="2694" w:type="dxa"/>
            <w:shd w:val="clear" w:color="auto" w:fill="auto"/>
            <w:vAlign w:val="center"/>
          </w:tcPr>
          <w:p w14:paraId="074A4CA1" w14:textId="45B8E6E4" w:rsidR="00385070" w:rsidRPr="00520C7C" w:rsidRDefault="00385070" w:rsidP="00EB555B">
            <w:pPr>
              <w:rPr>
                <w:sz w:val="20"/>
                <w:szCs w:val="20"/>
              </w:rPr>
            </w:pPr>
            <w:r w:rsidRPr="00520C7C">
              <w:rPr>
                <w:sz w:val="20"/>
                <w:szCs w:val="20"/>
              </w:rPr>
              <w:t>≥40.0</w:t>
            </w:r>
          </w:p>
        </w:tc>
        <w:tc>
          <w:tcPr>
            <w:tcW w:w="1984" w:type="dxa"/>
            <w:shd w:val="clear" w:color="auto" w:fill="auto"/>
            <w:vAlign w:val="center"/>
          </w:tcPr>
          <w:p w14:paraId="486A7BE1" w14:textId="77777777" w:rsidR="00385070" w:rsidRPr="00F97013" w:rsidRDefault="00385070" w:rsidP="008E5C05">
            <w:pPr>
              <w:jc w:val="right"/>
              <w:rPr>
                <w:sz w:val="20"/>
                <w:szCs w:val="20"/>
              </w:rPr>
            </w:pPr>
            <w:r w:rsidRPr="00F97013">
              <w:rPr>
                <w:sz w:val="20"/>
                <w:szCs w:val="20"/>
              </w:rPr>
              <w:t>10</w:t>
            </w:r>
          </w:p>
        </w:tc>
        <w:tc>
          <w:tcPr>
            <w:tcW w:w="1985" w:type="dxa"/>
            <w:shd w:val="clear" w:color="auto" w:fill="auto"/>
            <w:vAlign w:val="center"/>
          </w:tcPr>
          <w:p w14:paraId="381F3F58" w14:textId="6F8793E5" w:rsidR="00385070" w:rsidRPr="00F97013" w:rsidRDefault="006259C2" w:rsidP="008E5C05">
            <w:pPr>
              <w:jc w:val="right"/>
              <w:rPr>
                <w:sz w:val="20"/>
                <w:szCs w:val="20"/>
              </w:rPr>
            </w:pPr>
            <w:r w:rsidRPr="00F97013">
              <w:rPr>
                <w:sz w:val="20"/>
                <w:szCs w:val="20"/>
              </w:rPr>
              <w:t>6.5</w:t>
            </w:r>
            <w:r w:rsidR="00385070" w:rsidRPr="00F97013">
              <w:rPr>
                <w:sz w:val="20"/>
                <w:szCs w:val="20"/>
              </w:rPr>
              <w:t>%</w:t>
            </w:r>
          </w:p>
        </w:tc>
      </w:tr>
      <w:tr w:rsidR="006259C2" w:rsidRPr="00520C7C" w14:paraId="6E3EC995" w14:textId="77777777" w:rsidTr="00351B37">
        <w:trPr>
          <w:trHeight w:val="284"/>
        </w:trPr>
        <w:tc>
          <w:tcPr>
            <w:tcW w:w="2694" w:type="dxa"/>
            <w:shd w:val="clear" w:color="auto" w:fill="auto"/>
            <w:vAlign w:val="center"/>
          </w:tcPr>
          <w:p w14:paraId="4A0E598E" w14:textId="45F466F2" w:rsidR="006259C2" w:rsidRPr="00520C7C" w:rsidRDefault="006259C2" w:rsidP="00EB555B">
            <w:pPr>
              <w:rPr>
                <w:sz w:val="20"/>
                <w:szCs w:val="20"/>
              </w:rPr>
            </w:pPr>
            <w:r>
              <w:rPr>
                <w:sz w:val="20"/>
                <w:szCs w:val="20"/>
              </w:rPr>
              <w:t>Not stated</w:t>
            </w:r>
          </w:p>
        </w:tc>
        <w:tc>
          <w:tcPr>
            <w:tcW w:w="1984" w:type="dxa"/>
            <w:shd w:val="clear" w:color="auto" w:fill="auto"/>
            <w:vAlign w:val="center"/>
          </w:tcPr>
          <w:p w14:paraId="238E7BD2" w14:textId="32000D60" w:rsidR="006259C2" w:rsidRPr="00F97013" w:rsidRDefault="006259C2" w:rsidP="008E5C05">
            <w:pPr>
              <w:jc w:val="right"/>
              <w:rPr>
                <w:sz w:val="20"/>
                <w:szCs w:val="20"/>
              </w:rPr>
            </w:pPr>
            <w:r w:rsidRPr="00F97013">
              <w:rPr>
                <w:sz w:val="20"/>
                <w:szCs w:val="20"/>
              </w:rPr>
              <w:t>3</w:t>
            </w:r>
          </w:p>
        </w:tc>
        <w:tc>
          <w:tcPr>
            <w:tcW w:w="1985" w:type="dxa"/>
            <w:shd w:val="clear" w:color="auto" w:fill="auto"/>
            <w:vAlign w:val="center"/>
          </w:tcPr>
          <w:p w14:paraId="2C30FBF6" w14:textId="667E2186" w:rsidR="006259C2" w:rsidRPr="00F97013" w:rsidRDefault="006259C2" w:rsidP="008E5C05">
            <w:pPr>
              <w:jc w:val="right"/>
              <w:rPr>
                <w:sz w:val="20"/>
                <w:szCs w:val="20"/>
              </w:rPr>
            </w:pPr>
            <w:r w:rsidRPr="00F97013">
              <w:rPr>
                <w:sz w:val="20"/>
                <w:szCs w:val="20"/>
              </w:rPr>
              <w:t>2.0%</w:t>
            </w:r>
          </w:p>
        </w:tc>
      </w:tr>
      <w:tr w:rsidR="00520C7C" w:rsidRPr="00520C7C" w14:paraId="170E497E" w14:textId="77777777" w:rsidTr="00351B37">
        <w:trPr>
          <w:trHeight w:val="284"/>
        </w:trPr>
        <w:tc>
          <w:tcPr>
            <w:tcW w:w="2694" w:type="dxa"/>
            <w:shd w:val="clear" w:color="auto" w:fill="EEECE1" w:themeFill="background2"/>
            <w:vAlign w:val="center"/>
          </w:tcPr>
          <w:p w14:paraId="6FEF21D0" w14:textId="3F41A9B5" w:rsidR="00385070" w:rsidRPr="00520C7C" w:rsidRDefault="00174120" w:rsidP="002E4091">
            <w:pPr>
              <w:rPr>
                <w:sz w:val="20"/>
                <w:szCs w:val="20"/>
              </w:rPr>
            </w:pPr>
            <w:r w:rsidRPr="00520C7C">
              <w:rPr>
                <w:b/>
                <w:bCs/>
                <w:sz w:val="20"/>
                <w:szCs w:val="20"/>
              </w:rPr>
              <w:t>Leisure s</w:t>
            </w:r>
            <w:r w:rsidR="00385070" w:rsidRPr="00520C7C">
              <w:rPr>
                <w:b/>
                <w:bCs/>
                <w:sz w:val="20"/>
                <w:szCs w:val="20"/>
              </w:rPr>
              <w:t xml:space="preserve">ite </w:t>
            </w:r>
          </w:p>
        </w:tc>
        <w:tc>
          <w:tcPr>
            <w:tcW w:w="1984" w:type="dxa"/>
            <w:shd w:val="clear" w:color="auto" w:fill="EEECE1" w:themeFill="background2"/>
          </w:tcPr>
          <w:p w14:paraId="43F12817" w14:textId="77777777" w:rsidR="00385070" w:rsidRPr="00F97013" w:rsidRDefault="00385070" w:rsidP="008E5C05">
            <w:pPr>
              <w:jc w:val="right"/>
              <w:rPr>
                <w:sz w:val="20"/>
                <w:szCs w:val="20"/>
              </w:rPr>
            </w:pPr>
          </w:p>
        </w:tc>
        <w:tc>
          <w:tcPr>
            <w:tcW w:w="1985" w:type="dxa"/>
            <w:shd w:val="clear" w:color="auto" w:fill="EEECE1" w:themeFill="background2"/>
          </w:tcPr>
          <w:p w14:paraId="159BDA31" w14:textId="77777777" w:rsidR="00385070" w:rsidRPr="00F97013" w:rsidRDefault="00385070" w:rsidP="008E5C05">
            <w:pPr>
              <w:jc w:val="right"/>
              <w:rPr>
                <w:sz w:val="20"/>
                <w:szCs w:val="20"/>
              </w:rPr>
            </w:pPr>
          </w:p>
        </w:tc>
      </w:tr>
      <w:tr w:rsidR="00520C7C" w:rsidRPr="00520C7C" w14:paraId="5A6507CF" w14:textId="77777777" w:rsidTr="00351B37">
        <w:trPr>
          <w:trHeight w:val="284"/>
        </w:trPr>
        <w:tc>
          <w:tcPr>
            <w:tcW w:w="2694" w:type="dxa"/>
            <w:shd w:val="clear" w:color="auto" w:fill="auto"/>
            <w:vAlign w:val="center"/>
          </w:tcPr>
          <w:p w14:paraId="1A262963" w14:textId="7689D005" w:rsidR="00385070" w:rsidRPr="00520C7C" w:rsidRDefault="00174120" w:rsidP="00EB555B">
            <w:pPr>
              <w:rPr>
                <w:sz w:val="20"/>
                <w:szCs w:val="20"/>
              </w:rPr>
            </w:pPr>
            <w:r w:rsidRPr="00520C7C">
              <w:rPr>
                <w:sz w:val="20"/>
                <w:szCs w:val="20"/>
              </w:rPr>
              <w:t>Leisure s</w:t>
            </w:r>
            <w:r w:rsidR="00385070" w:rsidRPr="00520C7C">
              <w:rPr>
                <w:sz w:val="20"/>
                <w:szCs w:val="20"/>
              </w:rPr>
              <w:t>ite 1 (IMD quintile 2)</w:t>
            </w:r>
          </w:p>
        </w:tc>
        <w:tc>
          <w:tcPr>
            <w:tcW w:w="1984" w:type="dxa"/>
            <w:shd w:val="clear" w:color="auto" w:fill="auto"/>
            <w:vAlign w:val="center"/>
          </w:tcPr>
          <w:p w14:paraId="450E80CC" w14:textId="551865C9" w:rsidR="00385070" w:rsidRPr="00F97013" w:rsidRDefault="002E4091" w:rsidP="008E5C05">
            <w:pPr>
              <w:jc w:val="right"/>
              <w:rPr>
                <w:sz w:val="20"/>
                <w:szCs w:val="20"/>
              </w:rPr>
            </w:pPr>
            <w:r w:rsidRPr="00F97013">
              <w:rPr>
                <w:sz w:val="20"/>
                <w:szCs w:val="20"/>
              </w:rPr>
              <w:t>69</w:t>
            </w:r>
          </w:p>
        </w:tc>
        <w:tc>
          <w:tcPr>
            <w:tcW w:w="1985" w:type="dxa"/>
            <w:shd w:val="clear" w:color="auto" w:fill="auto"/>
            <w:vAlign w:val="center"/>
          </w:tcPr>
          <w:p w14:paraId="586FF709" w14:textId="2405B27A" w:rsidR="00385070" w:rsidRPr="00F97013" w:rsidRDefault="002E4091" w:rsidP="008E5C05">
            <w:pPr>
              <w:jc w:val="right"/>
              <w:rPr>
                <w:sz w:val="20"/>
                <w:szCs w:val="20"/>
              </w:rPr>
            </w:pPr>
            <w:r w:rsidRPr="00F97013">
              <w:rPr>
                <w:sz w:val="20"/>
                <w:szCs w:val="20"/>
              </w:rPr>
              <w:t>45.1</w:t>
            </w:r>
            <w:r w:rsidR="00385070" w:rsidRPr="00F97013">
              <w:rPr>
                <w:sz w:val="20"/>
                <w:szCs w:val="20"/>
              </w:rPr>
              <w:t>%</w:t>
            </w:r>
          </w:p>
        </w:tc>
      </w:tr>
      <w:tr w:rsidR="00520C7C" w:rsidRPr="00520C7C" w14:paraId="5B88871F" w14:textId="77777777" w:rsidTr="00351B37">
        <w:trPr>
          <w:trHeight w:val="284"/>
        </w:trPr>
        <w:tc>
          <w:tcPr>
            <w:tcW w:w="2694" w:type="dxa"/>
            <w:shd w:val="clear" w:color="auto" w:fill="auto"/>
            <w:vAlign w:val="center"/>
          </w:tcPr>
          <w:p w14:paraId="70E96D7B" w14:textId="3A1FD637" w:rsidR="00385070" w:rsidRPr="00520C7C" w:rsidRDefault="00174120" w:rsidP="00EB555B">
            <w:pPr>
              <w:rPr>
                <w:sz w:val="20"/>
                <w:szCs w:val="20"/>
              </w:rPr>
            </w:pPr>
            <w:r w:rsidRPr="00520C7C">
              <w:rPr>
                <w:sz w:val="20"/>
                <w:szCs w:val="20"/>
              </w:rPr>
              <w:t>Leisure s</w:t>
            </w:r>
            <w:r w:rsidR="00385070" w:rsidRPr="00520C7C">
              <w:rPr>
                <w:sz w:val="20"/>
                <w:szCs w:val="20"/>
              </w:rPr>
              <w:t>ite 2 (IMD quintile 3)</w:t>
            </w:r>
          </w:p>
        </w:tc>
        <w:tc>
          <w:tcPr>
            <w:tcW w:w="1984" w:type="dxa"/>
            <w:shd w:val="clear" w:color="auto" w:fill="auto"/>
            <w:vAlign w:val="center"/>
          </w:tcPr>
          <w:p w14:paraId="461A0D5B" w14:textId="099CBFBA" w:rsidR="00385070" w:rsidRPr="00F97013" w:rsidRDefault="002E4091" w:rsidP="008E5C05">
            <w:pPr>
              <w:jc w:val="right"/>
              <w:rPr>
                <w:sz w:val="20"/>
                <w:szCs w:val="20"/>
              </w:rPr>
            </w:pPr>
            <w:r w:rsidRPr="00F97013">
              <w:rPr>
                <w:sz w:val="20"/>
                <w:szCs w:val="20"/>
              </w:rPr>
              <w:t>83</w:t>
            </w:r>
          </w:p>
        </w:tc>
        <w:tc>
          <w:tcPr>
            <w:tcW w:w="1985" w:type="dxa"/>
            <w:shd w:val="clear" w:color="auto" w:fill="auto"/>
            <w:vAlign w:val="center"/>
          </w:tcPr>
          <w:p w14:paraId="707F37B1" w14:textId="5D73E808" w:rsidR="00385070" w:rsidRPr="00F97013" w:rsidRDefault="002E4091" w:rsidP="008E5C05">
            <w:pPr>
              <w:jc w:val="right"/>
              <w:rPr>
                <w:sz w:val="20"/>
                <w:szCs w:val="20"/>
              </w:rPr>
            </w:pPr>
            <w:r w:rsidRPr="00F97013">
              <w:rPr>
                <w:sz w:val="20"/>
                <w:szCs w:val="20"/>
              </w:rPr>
              <w:t>54.2</w:t>
            </w:r>
            <w:r w:rsidR="00385070" w:rsidRPr="00F97013">
              <w:rPr>
                <w:sz w:val="20"/>
                <w:szCs w:val="20"/>
              </w:rPr>
              <w:t>%</w:t>
            </w:r>
          </w:p>
        </w:tc>
      </w:tr>
      <w:tr w:rsidR="002E4091" w:rsidRPr="00520C7C" w14:paraId="6039CA11" w14:textId="77777777" w:rsidTr="00351B37">
        <w:trPr>
          <w:trHeight w:val="284"/>
        </w:trPr>
        <w:tc>
          <w:tcPr>
            <w:tcW w:w="2694" w:type="dxa"/>
            <w:shd w:val="clear" w:color="auto" w:fill="auto"/>
            <w:vAlign w:val="center"/>
          </w:tcPr>
          <w:p w14:paraId="6462EAD4" w14:textId="7F87D1FB" w:rsidR="002E4091" w:rsidRPr="00520C7C" w:rsidRDefault="002E4091" w:rsidP="00D95175">
            <w:pPr>
              <w:rPr>
                <w:sz w:val="20"/>
                <w:szCs w:val="20"/>
              </w:rPr>
            </w:pPr>
            <w:r>
              <w:rPr>
                <w:sz w:val="20"/>
                <w:szCs w:val="20"/>
              </w:rPr>
              <w:t xml:space="preserve">Not </w:t>
            </w:r>
            <w:r w:rsidR="00D95175">
              <w:rPr>
                <w:sz w:val="20"/>
                <w:szCs w:val="20"/>
              </w:rPr>
              <w:t>stated</w:t>
            </w:r>
          </w:p>
        </w:tc>
        <w:tc>
          <w:tcPr>
            <w:tcW w:w="1984" w:type="dxa"/>
            <w:shd w:val="clear" w:color="auto" w:fill="auto"/>
            <w:vAlign w:val="center"/>
          </w:tcPr>
          <w:p w14:paraId="41D7B95B" w14:textId="776D8EDA" w:rsidR="002E4091" w:rsidRPr="00F97013" w:rsidDel="002E4091" w:rsidRDefault="002E4091" w:rsidP="008E5C05">
            <w:pPr>
              <w:jc w:val="right"/>
              <w:rPr>
                <w:sz w:val="20"/>
                <w:szCs w:val="20"/>
              </w:rPr>
            </w:pPr>
            <w:r w:rsidRPr="00F97013">
              <w:rPr>
                <w:sz w:val="20"/>
                <w:szCs w:val="20"/>
              </w:rPr>
              <w:t>1</w:t>
            </w:r>
          </w:p>
        </w:tc>
        <w:tc>
          <w:tcPr>
            <w:tcW w:w="1985" w:type="dxa"/>
            <w:shd w:val="clear" w:color="auto" w:fill="auto"/>
            <w:vAlign w:val="center"/>
          </w:tcPr>
          <w:p w14:paraId="0BEEB8F2" w14:textId="2B09E8DB" w:rsidR="002E4091" w:rsidRPr="00F97013" w:rsidRDefault="002E4091" w:rsidP="008E5C05">
            <w:pPr>
              <w:jc w:val="right"/>
              <w:rPr>
                <w:sz w:val="20"/>
                <w:szCs w:val="20"/>
              </w:rPr>
            </w:pPr>
            <w:r w:rsidRPr="00F97013">
              <w:rPr>
                <w:sz w:val="20"/>
                <w:szCs w:val="20"/>
              </w:rPr>
              <w:t>0.7%</w:t>
            </w:r>
          </w:p>
        </w:tc>
      </w:tr>
      <w:tr w:rsidR="00520C7C" w:rsidRPr="00520C7C" w14:paraId="6E843DB3" w14:textId="77777777" w:rsidTr="00351B37">
        <w:trPr>
          <w:trHeight w:val="284"/>
        </w:trPr>
        <w:tc>
          <w:tcPr>
            <w:tcW w:w="6663" w:type="dxa"/>
            <w:gridSpan w:val="3"/>
            <w:shd w:val="clear" w:color="auto" w:fill="EEECE1" w:themeFill="background2"/>
            <w:vAlign w:val="center"/>
          </w:tcPr>
          <w:p w14:paraId="1FB499FD" w14:textId="42997437" w:rsidR="00385070" w:rsidRPr="00F97013" w:rsidRDefault="00174120" w:rsidP="002E4091">
            <w:pPr>
              <w:rPr>
                <w:sz w:val="20"/>
                <w:szCs w:val="20"/>
              </w:rPr>
            </w:pPr>
            <w:r w:rsidRPr="00F97013">
              <w:rPr>
                <w:b/>
                <w:bCs/>
                <w:sz w:val="20"/>
                <w:szCs w:val="20"/>
              </w:rPr>
              <w:t>Index of multiple d</w:t>
            </w:r>
            <w:r w:rsidR="00385070" w:rsidRPr="00F97013">
              <w:rPr>
                <w:b/>
                <w:bCs/>
                <w:sz w:val="20"/>
                <w:szCs w:val="20"/>
              </w:rPr>
              <w:t xml:space="preserve">eprivation </w:t>
            </w:r>
          </w:p>
        </w:tc>
      </w:tr>
      <w:tr w:rsidR="00520C7C" w:rsidRPr="00520C7C" w14:paraId="278CB922" w14:textId="77777777" w:rsidTr="00351B37">
        <w:trPr>
          <w:trHeight w:val="284"/>
        </w:trPr>
        <w:tc>
          <w:tcPr>
            <w:tcW w:w="2694" w:type="dxa"/>
            <w:shd w:val="clear" w:color="auto" w:fill="auto"/>
            <w:vAlign w:val="center"/>
          </w:tcPr>
          <w:p w14:paraId="623FDE1B" w14:textId="0335B0D1" w:rsidR="00385070" w:rsidRPr="00520C7C" w:rsidRDefault="00385070" w:rsidP="00EB555B">
            <w:pPr>
              <w:rPr>
                <w:sz w:val="20"/>
                <w:szCs w:val="20"/>
              </w:rPr>
            </w:pPr>
            <w:r w:rsidRPr="00520C7C">
              <w:rPr>
                <w:sz w:val="20"/>
                <w:szCs w:val="20"/>
              </w:rPr>
              <w:t>20% most deprived</w:t>
            </w:r>
          </w:p>
        </w:tc>
        <w:tc>
          <w:tcPr>
            <w:tcW w:w="1984" w:type="dxa"/>
            <w:shd w:val="clear" w:color="auto" w:fill="auto"/>
            <w:vAlign w:val="center"/>
          </w:tcPr>
          <w:p w14:paraId="4738A92B" w14:textId="140C3EBF" w:rsidR="00385070" w:rsidRPr="00F97013" w:rsidRDefault="00D95175" w:rsidP="008E5C05">
            <w:pPr>
              <w:jc w:val="right"/>
              <w:rPr>
                <w:sz w:val="20"/>
                <w:szCs w:val="20"/>
              </w:rPr>
            </w:pPr>
            <w:r w:rsidRPr="00F97013">
              <w:rPr>
                <w:sz w:val="20"/>
                <w:szCs w:val="20"/>
              </w:rPr>
              <w:t>42</w:t>
            </w:r>
          </w:p>
        </w:tc>
        <w:tc>
          <w:tcPr>
            <w:tcW w:w="1985" w:type="dxa"/>
            <w:shd w:val="clear" w:color="auto" w:fill="auto"/>
            <w:vAlign w:val="center"/>
          </w:tcPr>
          <w:p w14:paraId="63BEBE05" w14:textId="34CFD3EB" w:rsidR="00385070" w:rsidRPr="00F97013" w:rsidRDefault="00D95175" w:rsidP="008E5C05">
            <w:pPr>
              <w:jc w:val="right"/>
              <w:rPr>
                <w:sz w:val="20"/>
                <w:szCs w:val="20"/>
              </w:rPr>
            </w:pPr>
            <w:r w:rsidRPr="00F97013">
              <w:rPr>
                <w:sz w:val="20"/>
                <w:szCs w:val="20"/>
              </w:rPr>
              <w:t>27.5</w:t>
            </w:r>
            <w:r w:rsidR="00385070" w:rsidRPr="00F97013">
              <w:rPr>
                <w:sz w:val="20"/>
                <w:szCs w:val="20"/>
              </w:rPr>
              <w:t>%</w:t>
            </w:r>
          </w:p>
        </w:tc>
      </w:tr>
      <w:tr w:rsidR="00520C7C" w:rsidRPr="00520C7C" w14:paraId="54FD4850" w14:textId="77777777" w:rsidTr="00351B37">
        <w:trPr>
          <w:trHeight w:val="284"/>
        </w:trPr>
        <w:tc>
          <w:tcPr>
            <w:tcW w:w="2694" w:type="dxa"/>
            <w:shd w:val="clear" w:color="auto" w:fill="auto"/>
            <w:vAlign w:val="center"/>
          </w:tcPr>
          <w:p w14:paraId="5CA715BB" w14:textId="21D86EDA" w:rsidR="00385070" w:rsidRPr="00520C7C" w:rsidRDefault="00385070" w:rsidP="00EB555B">
            <w:pPr>
              <w:rPr>
                <w:sz w:val="20"/>
                <w:szCs w:val="20"/>
              </w:rPr>
            </w:pPr>
            <w:r w:rsidRPr="00520C7C">
              <w:rPr>
                <w:sz w:val="20"/>
                <w:szCs w:val="20"/>
              </w:rPr>
              <w:t>21-40%</w:t>
            </w:r>
          </w:p>
        </w:tc>
        <w:tc>
          <w:tcPr>
            <w:tcW w:w="1984" w:type="dxa"/>
            <w:shd w:val="clear" w:color="auto" w:fill="auto"/>
            <w:vAlign w:val="center"/>
          </w:tcPr>
          <w:p w14:paraId="10F9929C" w14:textId="2401B07F" w:rsidR="00385070" w:rsidRPr="00F97013" w:rsidRDefault="00D95175" w:rsidP="008E5C05">
            <w:pPr>
              <w:jc w:val="right"/>
              <w:rPr>
                <w:sz w:val="20"/>
                <w:szCs w:val="20"/>
              </w:rPr>
            </w:pPr>
            <w:r w:rsidRPr="00F97013">
              <w:rPr>
                <w:sz w:val="20"/>
                <w:szCs w:val="20"/>
              </w:rPr>
              <w:t>33</w:t>
            </w:r>
          </w:p>
        </w:tc>
        <w:tc>
          <w:tcPr>
            <w:tcW w:w="1985" w:type="dxa"/>
            <w:shd w:val="clear" w:color="auto" w:fill="auto"/>
            <w:vAlign w:val="center"/>
          </w:tcPr>
          <w:p w14:paraId="517A1ED2" w14:textId="6FDCAE9B" w:rsidR="00385070" w:rsidRPr="00F97013" w:rsidRDefault="00D95175" w:rsidP="008E5C05">
            <w:pPr>
              <w:jc w:val="right"/>
              <w:rPr>
                <w:sz w:val="20"/>
                <w:szCs w:val="20"/>
              </w:rPr>
            </w:pPr>
            <w:r w:rsidRPr="00F97013">
              <w:rPr>
                <w:sz w:val="20"/>
                <w:szCs w:val="20"/>
              </w:rPr>
              <w:t>21.6</w:t>
            </w:r>
            <w:r w:rsidR="00385070" w:rsidRPr="00F97013">
              <w:rPr>
                <w:sz w:val="20"/>
                <w:szCs w:val="20"/>
              </w:rPr>
              <w:t>%</w:t>
            </w:r>
          </w:p>
        </w:tc>
      </w:tr>
      <w:tr w:rsidR="00520C7C" w:rsidRPr="00520C7C" w14:paraId="28FA2058" w14:textId="77777777" w:rsidTr="00351B37">
        <w:trPr>
          <w:trHeight w:val="284"/>
        </w:trPr>
        <w:tc>
          <w:tcPr>
            <w:tcW w:w="2694" w:type="dxa"/>
            <w:shd w:val="clear" w:color="auto" w:fill="auto"/>
            <w:vAlign w:val="center"/>
          </w:tcPr>
          <w:p w14:paraId="13CBFFBB" w14:textId="54FC4A9E" w:rsidR="00385070" w:rsidRPr="00520C7C" w:rsidRDefault="00385070" w:rsidP="00EB555B">
            <w:pPr>
              <w:rPr>
                <w:sz w:val="20"/>
                <w:szCs w:val="20"/>
              </w:rPr>
            </w:pPr>
            <w:r w:rsidRPr="00520C7C">
              <w:rPr>
                <w:sz w:val="20"/>
                <w:szCs w:val="20"/>
              </w:rPr>
              <w:t>41-60%</w:t>
            </w:r>
          </w:p>
        </w:tc>
        <w:tc>
          <w:tcPr>
            <w:tcW w:w="1984" w:type="dxa"/>
            <w:shd w:val="clear" w:color="auto" w:fill="auto"/>
            <w:vAlign w:val="center"/>
          </w:tcPr>
          <w:p w14:paraId="141E542C" w14:textId="0023728A" w:rsidR="00385070" w:rsidRPr="00F97013" w:rsidRDefault="00D95175" w:rsidP="008E5C05">
            <w:pPr>
              <w:jc w:val="right"/>
              <w:rPr>
                <w:sz w:val="20"/>
                <w:szCs w:val="20"/>
              </w:rPr>
            </w:pPr>
            <w:r w:rsidRPr="00F97013">
              <w:rPr>
                <w:sz w:val="20"/>
                <w:szCs w:val="20"/>
              </w:rPr>
              <w:t>17</w:t>
            </w:r>
          </w:p>
        </w:tc>
        <w:tc>
          <w:tcPr>
            <w:tcW w:w="1985" w:type="dxa"/>
            <w:shd w:val="clear" w:color="auto" w:fill="auto"/>
            <w:vAlign w:val="center"/>
          </w:tcPr>
          <w:p w14:paraId="6A8FC80A" w14:textId="6AEDBFEB" w:rsidR="00385070" w:rsidRPr="00F97013" w:rsidRDefault="00D95175" w:rsidP="008E5C05">
            <w:pPr>
              <w:jc w:val="right"/>
              <w:rPr>
                <w:sz w:val="20"/>
                <w:szCs w:val="20"/>
              </w:rPr>
            </w:pPr>
            <w:r w:rsidRPr="00F97013">
              <w:rPr>
                <w:sz w:val="20"/>
                <w:szCs w:val="20"/>
              </w:rPr>
              <w:t>11.1</w:t>
            </w:r>
            <w:r w:rsidR="00385070" w:rsidRPr="00F97013">
              <w:rPr>
                <w:sz w:val="20"/>
                <w:szCs w:val="20"/>
              </w:rPr>
              <w:t>%</w:t>
            </w:r>
          </w:p>
        </w:tc>
      </w:tr>
      <w:tr w:rsidR="00520C7C" w:rsidRPr="00520C7C" w14:paraId="1981CD83" w14:textId="77777777" w:rsidTr="00351B37">
        <w:trPr>
          <w:trHeight w:val="284"/>
        </w:trPr>
        <w:tc>
          <w:tcPr>
            <w:tcW w:w="2694" w:type="dxa"/>
            <w:shd w:val="clear" w:color="auto" w:fill="auto"/>
            <w:vAlign w:val="center"/>
          </w:tcPr>
          <w:p w14:paraId="1EB79B59" w14:textId="181B5A20" w:rsidR="00385070" w:rsidRPr="00520C7C" w:rsidRDefault="00385070" w:rsidP="00EB555B">
            <w:pPr>
              <w:rPr>
                <w:sz w:val="20"/>
                <w:szCs w:val="20"/>
              </w:rPr>
            </w:pPr>
            <w:r w:rsidRPr="00520C7C">
              <w:rPr>
                <w:sz w:val="20"/>
                <w:szCs w:val="20"/>
              </w:rPr>
              <w:t>61-80%</w:t>
            </w:r>
          </w:p>
        </w:tc>
        <w:tc>
          <w:tcPr>
            <w:tcW w:w="1984" w:type="dxa"/>
            <w:shd w:val="clear" w:color="auto" w:fill="auto"/>
            <w:vAlign w:val="center"/>
          </w:tcPr>
          <w:p w14:paraId="04CF74D6" w14:textId="77777777" w:rsidR="00385070" w:rsidRPr="00F97013" w:rsidRDefault="00385070" w:rsidP="008E5C05">
            <w:pPr>
              <w:jc w:val="right"/>
              <w:rPr>
                <w:sz w:val="20"/>
                <w:szCs w:val="20"/>
              </w:rPr>
            </w:pPr>
            <w:r w:rsidRPr="00F97013">
              <w:rPr>
                <w:sz w:val="20"/>
                <w:szCs w:val="20"/>
              </w:rPr>
              <w:t>20</w:t>
            </w:r>
          </w:p>
        </w:tc>
        <w:tc>
          <w:tcPr>
            <w:tcW w:w="1985" w:type="dxa"/>
            <w:shd w:val="clear" w:color="auto" w:fill="auto"/>
            <w:vAlign w:val="center"/>
          </w:tcPr>
          <w:p w14:paraId="25C1DE81" w14:textId="3DE88585" w:rsidR="00385070" w:rsidRPr="00F97013" w:rsidRDefault="00D95175" w:rsidP="008E5C05">
            <w:pPr>
              <w:jc w:val="right"/>
              <w:rPr>
                <w:sz w:val="20"/>
                <w:szCs w:val="20"/>
              </w:rPr>
            </w:pPr>
            <w:r w:rsidRPr="00F97013">
              <w:rPr>
                <w:sz w:val="20"/>
                <w:szCs w:val="20"/>
              </w:rPr>
              <w:t>13.1</w:t>
            </w:r>
            <w:r w:rsidR="00385070" w:rsidRPr="00F97013">
              <w:rPr>
                <w:sz w:val="20"/>
                <w:szCs w:val="20"/>
              </w:rPr>
              <w:t>%</w:t>
            </w:r>
          </w:p>
        </w:tc>
      </w:tr>
      <w:tr w:rsidR="00520C7C" w:rsidRPr="00520C7C" w14:paraId="04169E3B" w14:textId="77777777" w:rsidTr="00351B37">
        <w:trPr>
          <w:trHeight w:val="284"/>
        </w:trPr>
        <w:tc>
          <w:tcPr>
            <w:tcW w:w="2694" w:type="dxa"/>
            <w:shd w:val="clear" w:color="auto" w:fill="auto"/>
            <w:vAlign w:val="center"/>
          </w:tcPr>
          <w:p w14:paraId="23B5DB7B" w14:textId="7EC75F94" w:rsidR="00385070" w:rsidRPr="00520C7C" w:rsidRDefault="00385070" w:rsidP="00EB555B">
            <w:pPr>
              <w:rPr>
                <w:sz w:val="20"/>
                <w:szCs w:val="20"/>
              </w:rPr>
            </w:pPr>
            <w:r w:rsidRPr="00520C7C">
              <w:rPr>
                <w:sz w:val="20"/>
                <w:szCs w:val="20"/>
              </w:rPr>
              <w:t>20% least deprived</w:t>
            </w:r>
          </w:p>
        </w:tc>
        <w:tc>
          <w:tcPr>
            <w:tcW w:w="1984" w:type="dxa"/>
            <w:shd w:val="clear" w:color="auto" w:fill="auto"/>
            <w:vAlign w:val="center"/>
          </w:tcPr>
          <w:p w14:paraId="12B1BCB4" w14:textId="1C571DCE" w:rsidR="00385070" w:rsidRPr="00F97013" w:rsidRDefault="00D95175" w:rsidP="008E5C05">
            <w:pPr>
              <w:jc w:val="right"/>
              <w:rPr>
                <w:sz w:val="20"/>
                <w:szCs w:val="20"/>
              </w:rPr>
            </w:pPr>
            <w:r w:rsidRPr="00F97013">
              <w:rPr>
                <w:sz w:val="20"/>
                <w:szCs w:val="20"/>
              </w:rPr>
              <w:t>35</w:t>
            </w:r>
          </w:p>
        </w:tc>
        <w:tc>
          <w:tcPr>
            <w:tcW w:w="1985" w:type="dxa"/>
            <w:shd w:val="clear" w:color="auto" w:fill="auto"/>
            <w:vAlign w:val="center"/>
          </w:tcPr>
          <w:p w14:paraId="47A0EFA6" w14:textId="551F1D2F" w:rsidR="00385070" w:rsidRPr="00F97013" w:rsidRDefault="00D95175" w:rsidP="008E5C05">
            <w:pPr>
              <w:jc w:val="right"/>
              <w:rPr>
                <w:sz w:val="20"/>
                <w:szCs w:val="20"/>
              </w:rPr>
            </w:pPr>
            <w:r w:rsidRPr="00F97013">
              <w:rPr>
                <w:sz w:val="20"/>
                <w:szCs w:val="20"/>
              </w:rPr>
              <w:t>22.9</w:t>
            </w:r>
            <w:r w:rsidR="00385070" w:rsidRPr="00F97013">
              <w:rPr>
                <w:sz w:val="20"/>
                <w:szCs w:val="20"/>
              </w:rPr>
              <w:t>%</w:t>
            </w:r>
          </w:p>
        </w:tc>
      </w:tr>
      <w:tr w:rsidR="00D95175" w:rsidRPr="00520C7C" w14:paraId="02A7A1C8" w14:textId="77777777" w:rsidTr="00351B37">
        <w:trPr>
          <w:trHeight w:val="284"/>
        </w:trPr>
        <w:tc>
          <w:tcPr>
            <w:tcW w:w="2694" w:type="dxa"/>
            <w:shd w:val="clear" w:color="auto" w:fill="auto"/>
            <w:vAlign w:val="center"/>
          </w:tcPr>
          <w:p w14:paraId="5AE6AFC3" w14:textId="50E81A59" w:rsidR="00D95175" w:rsidRPr="00520C7C" w:rsidRDefault="00D95175" w:rsidP="00EB555B">
            <w:pPr>
              <w:rPr>
                <w:sz w:val="20"/>
                <w:szCs w:val="20"/>
              </w:rPr>
            </w:pPr>
            <w:r>
              <w:rPr>
                <w:sz w:val="20"/>
                <w:szCs w:val="20"/>
              </w:rPr>
              <w:t>Not stated</w:t>
            </w:r>
          </w:p>
        </w:tc>
        <w:tc>
          <w:tcPr>
            <w:tcW w:w="1984" w:type="dxa"/>
            <w:shd w:val="clear" w:color="auto" w:fill="auto"/>
            <w:vAlign w:val="center"/>
          </w:tcPr>
          <w:p w14:paraId="5EF1AD05" w14:textId="68977BED" w:rsidR="00D95175" w:rsidRPr="00F97013" w:rsidRDefault="00D95175" w:rsidP="008E5C05">
            <w:pPr>
              <w:jc w:val="right"/>
              <w:rPr>
                <w:sz w:val="20"/>
                <w:szCs w:val="20"/>
              </w:rPr>
            </w:pPr>
            <w:r w:rsidRPr="00F97013">
              <w:rPr>
                <w:sz w:val="20"/>
                <w:szCs w:val="20"/>
              </w:rPr>
              <w:t>6</w:t>
            </w:r>
          </w:p>
        </w:tc>
        <w:tc>
          <w:tcPr>
            <w:tcW w:w="1985" w:type="dxa"/>
            <w:shd w:val="clear" w:color="auto" w:fill="auto"/>
            <w:vAlign w:val="center"/>
          </w:tcPr>
          <w:p w14:paraId="78878935" w14:textId="6E8148D8" w:rsidR="00D95175" w:rsidRPr="00F97013" w:rsidRDefault="00D95175" w:rsidP="008E5C05">
            <w:pPr>
              <w:jc w:val="right"/>
              <w:rPr>
                <w:sz w:val="20"/>
                <w:szCs w:val="20"/>
              </w:rPr>
            </w:pPr>
            <w:r w:rsidRPr="00F97013">
              <w:rPr>
                <w:sz w:val="20"/>
                <w:szCs w:val="20"/>
              </w:rPr>
              <w:t>3.9%</w:t>
            </w:r>
          </w:p>
        </w:tc>
      </w:tr>
      <w:tr w:rsidR="00520C7C" w:rsidRPr="00520C7C" w14:paraId="1FEA1CFC" w14:textId="77777777" w:rsidTr="00351B37">
        <w:trPr>
          <w:trHeight w:val="284"/>
        </w:trPr>
        <w:tc>
          <w:tcPr>
            <w:tcW w:w="2694" w:type="dxa"/>
            <w:shd w:val="clear" w:color="auto" w:fill="EEECE1" w:themeFill="background2"/>
            <w:vAlign w:val="center"/>
          </w:tcPr>
          <w:p w14:paraId="72C0F8A0" w14:textId="25AF7A81" w:rsidR="00385070" w:rsidRPr="00520C7C" w:rsidRDefault="00385070" w:rsidP="002E4091">
            <w:pPr>
              <w:rPr>
                <w:sz w:val="20"/>
                <w:szCs w:val="20"/>
              </w:rPr>
            </w:pPr>
            <w:r w:rsidRPr="00520C7C">
              <w:rPr>
                <w:b/>
                <w:bCs/>
                <w:sz w:val="20"/>
                <w:szCs w:val="20"/>
              </w:rPr>
              <w:t xml:space="preserve">Employment status </w:t>
            </w:r>
          </w:p>
        </w:tc>
        <w:tc>
          <w:tcPr>
            <w:tcW w:w="1984" w:type="dxa"/>
            <w:shd w:val="clear" w:color="auto" w:fill="EEECE1" w:themeFill="background2"/>
          </w:tcPr>
          <w:p w14:paraId="700EFEFE" w14:textId="77777777" w:rsidR="00385070" w:rsidRPr="00F97013" w:rsidRDefault="00385070" w:rsidP="008E5C05">
            <w:pPr>
              <w:jc w:val="right"/>
              <w:rPr>
                <w:sz w:val="20"/>
                <w:szCs w:val="20"/>
              </w:rPr>
            </w:pPr>
          </w:p>
        </w:tc>
        <w:tc>
          <w:tcPr>
            <w:tcW w:w="1985" w:type="dxa"/>
            <w:shd w:val="clear" w:color="auto" w:fill="EEECE1" w:themeFill="background2"/>
          </w:tcPr>
          <w:p w14:paraId="0A5953A2" w14:textId="77777777" w:rsidR="00385070" w:rsidRPr="00F97013" w:rsidRDefault="00385070" w:rsidP="008E5C05">
            <w:pPr>
              <w:jc w:val="right"/>
              <w:rPr>
                <w:sz w:val="20"/>
                <w:szCs w:val="20"/>
              </w:rPr>
            </w:pPr>
          </w:p>
        </w:tc>
      </w:tr>
      <w:tr w:rsidR="00520C7C" w:rsidRPr="00520C7C" w14:paraId="15F464BF" w14:textId="77777777" w:rsidTr="00351B37">
        <w:trPr>
          <w:trHeight w:val="284"/>
        </w:trPr>
        <w:tc>
          <w:tcPr>
            <w:tcW w:w="2694" w:type="dxa"/>
            <w:shd w:val="clear" w:color="auto" w:fill="auto"/>
            <w:vAlign w:val="center"/>
          </w:tcPr>
          <w:p w14:paraId="7366ACB0" w14:textId="5ADC0E4B" w:rsidR="00385070" w:rsidRPr="00520C7C" w:rsidRDefault="00385070" w:rsidP="00EB555B">
            <w:pPr>
              <w:rPr>
                <w:sz w:val="20"/>
                <w:szCs w:val="20"/>
              </w:rPr>
            </w:pPr>
            <w:r w:rsidRPr="00520C7C">
              <w:rPr>
                <w:sz w:val="20"/>
                <w:szCs w:val="20"/>
              </w:rPr>
              <w:t>Employed full time</w:t>
            </w:r>
          </w:p>
        </w:tc>
        <w:tc>
          <w:tcPr>
            <w:tcW w:w="1984" w:type="dxa"/>
            <w:shd w:val="clear" w:color="auto" w:fill="auto"/>
            <w:vAlign w:val="bottom"/>
          </w:tcPr>
          <w:p w14:paraId="44FBBE2B" w14:textId="57FB65F4" w:rsidR="00385070" w:rsidRPr="00F97013" w:rsidRDefault="002E4091" w:rsidP="002E4091">
            <w:pPr>
              <w:jc w:val="right"/>
              <w:rPr>
                <w:sz w:val="20"/>
                <w:szCs w:val="20"/>
              </w:rPr>
            </w:pPr>
            <w:r w:rsidRPr="00F97013">
              <w:rPr>
                <w:sz w:val="20"/>
                <w:szCs w:val="20"/>
              </w:rPr>
              <w:t>36</w:t>
            </w:r>
          </w:p>
        </w:tc>
        <w:tc>
          <w:tcPr>
            <w:tcW w:w="1985" w:type="dxa"/>
            <w:shd w:val="clear" w:color="auto" w:fill="auto"/>
            <w:vAlign w:val="bottom"/>
          </w:tcPr>
          <w:p w14:paraId="08BB568F" w14:textId="6283193B" w:rsidR="00385070" w:rsidRPr="00F97013" w:rsidRDefault="00D95175" w:rsidP="008E5C05">
            <w:pPr>
              <w:jc w:val="right"/>
              <w:rPr>
                <w:sz w:val="20"/>
                <w:szCs w:val="20"/>
              </w:rPr>
            </w:pPr>
            <w:r w:rsidRPr="00F97013">
              <w:rPr>
                <w:sz w:val="20"/>
                <w:szCs w:val="20"/>
              </w:rPr>
              <w:t>23.5</w:t>
            </w:r>
            <w:r w:rsidR="00385070" w:rsidRPr="00F97013">
              <w:rPr>
                <w:sz w:val="20"/>
                <w:szCs w:val="20"/>
              </w:rPr>
              <w:t>%</w:t>
            </w:r>
          </w:p>
        </w:tc>
      </w:tr>
      <w:tr w:rsidR="00520C7C" w:rsidRPr="00520C7C" w14:paraId="11F6CCE3" w14:textId="77777777" w:rsidTr="00351B37">
        <w:trPr>
          <w:trHeight w:val="284"/>
        </w:trPr>
        <w:tc>
          <w:tcPr>
            <w:tcW w:w="2694" w:type="dxa"/>
            <w:shd w:val="clear" w:color="auto" w:fill="auto"/>
            <w:vAlign w:val="center"/>
          </w:tcPr>
          <w:p w14:paraId="5BC9C116" w14:textId="5B307630" w:rsidR="00385070" w:rsidRPr="00520C7C" w:rsidRDefault="00385070" w:rsidP="00EB555B">
            <w:pPr>
              <w:rPr>
                <w:sz w:val="20"/>
                <w:szCs w:val="20"/>
              </w:rPr>
            </w:pPr>
            <w:r w:rsidRPr="00520C7C">
              <w:rPr>
                <w:sz w:val="20"/>
                <w:szCs w:val="20"/>
              </w:rPr>
              <w:t>Employed part time</w:t>
            </w:r>
          </w:p>
        </w:tc>
        <w:tc>
          <w:tcPr>
            <w:tcW w:w="1984" w:type="dxa"/>
            <w:shd w:val="clear" w:color="auto" w:fill="auto"/>
            <w:vAlign w:val="bottom"/>
          </w:tcPr>
          <w:p w14:paraId="660150B1" w14:textId="77777777" w:rsidR="00385070" w:rsidRPr="00F97013" w:rsidRDefault="00385070" w:rsidP="008E5C05">
            <w:pPr>
              <w:jc w:val="right"/>
              <w:rPr>
                <w:sz w:val="20"/>
                <w:szCs w:val="20"/>
              </w:rPr>
            </w:pPr>
            <w:r w:rsidRPr="00F97013">
              <w:rPr>
                <w:sz w:val="20"/>
                <w:szCs w:val="20"/>
              </w:rPr>
              <w:t>24</w:t>
            </w:r>
          </w:p>
        </w:tc>
        <w:tc>
          <w:tcPr>
            <w:tcW w:w="1985" w:type="dxa"/>
            <w:shd w:val="clear" w:color="auto" w:fill="auto"/>
            <w:vAlign w:val="bottom"/>
          </w:tcPr>
          <w:p w14:paraId="5B817F20" w14:textId="5A6BD33C" w:rsidR="00385070" w:rsidRPr="00F97013" w:rsidRDefault="00D95175" w:rsidP="008E5C05">
            <w:pPr>
              <w:jc w:val="right"/>
              <w:rPr>
                <w:sz w:val="20"/>
                <w:szCs w:val="20"/>
              </w:rPr>
            </w:pPr>
            <w:r w:rsidRPr="00F97013">
              <w:rPr>
                <w:sz w:val="20"/>
                <w:szCs w:val="20"/>
              </w:rPr>
              <w:t>15.7</w:t>
            </w:r>
            <w:r w:rsidR="00385070" w:rsidRPr="00F97013">
              <w:rPr>
                <w:sz w:val="20"/>
                <w:szCs w:val="20"/>
              </w:rPr>
              <w:t>%</w:t>
            </w:r>
          </w:p>
        </w:tc>
      </w:tr>
      <w:tr w:rsidR="00520C7C" w:rsidRPr="00520C7C" w14:paraId="0EE77BB3" w14:textId="77777777" w:rsidTr="00351B37">
        <w:trPr>
          <w:trHeight w:val="284"/>
        </w:trPr>
        <w:tc>
          <w:tcPr>
            <w:tcW w:w="2694" w:type="dxa"/>
            <w:shd w:val="clear" w:color="auto" w:fill="auto"/>
            <w:vAlign w:val="center"/>
          </w:tcPr>
          <w:p w14:paraId="441EE746" w14:textId="1256DBD0" w:rsidR="00385070" w:rsidRPr="00520C7C" w:rsidRDefault="00385070" w:rsidP="00EB555B">
            <w:pPr>
              <w:rPr>
                <w:sz w:val="20"/>
                <w:szCs w:val="20"/>
              </w:rPr>
            </w:pPr>
            <w:r w:rsidRPr="00520C7C">
              <w:rPr>
                <w:sz w:val="20"/>
                <w:szCs w:val="20"/>
              </w:rPr>
              <w:t>Retired</w:t>
            </w:r>
          </w:p>
        </w:tc>
        <w:tc>
          <w:tcPr>
            <w:tcW w:w="1984" w:type="dxa"/>
            <w:shd w:val="clear" w:color="auto" w:fill="auto"/>
            <w:vAlign w:val="bottom"/>
          </w:tcPr>
          <w:p w14:paraId="709B34DB" w14:textId="77777777" w:rsidR="00385070" w:rsidRPr="00F97013" w:rsidRDefault="00385070" w:rsidP="008E5C05">
            <w:pPr>
              <w:jc w:val="right"/>
              <w:rPr>
                <w:sz w:val="20"/>
                <w:szCs w:val="20"/>
              </w:rPr>
            </w:pPr>
            <w:r w:rsidRPr="00F97013">
              <w:rPr>
                <w:sz w:val="20"/>
                <w:szCs w:val="20"/>
              </w:rPr>
              <w:t>51</w:t>
            </w:r>
          </w:p>
        </w:tc>
        <w:tc>
          <w:tcPr>
            <w:tcW w:w="1985" w:type="dxa"/>
            <w:shd w:val="clear" w:color="auto" w:fill="auto"/>
            <w:vAlign w:val="bottom"/>
          </w:tcPr>
          <w:p w14:paraId="0D4799E4" w14:textId="759386BA" w:rsidR="00385070" w:rsidRPr="00F97013" w:rsidRDefault="00D95175" w:rsidP="008E5C05">
            <w:pPr>
              <w:jc w:val="right"/>
              <w:rPr>
                <w:sz w:val="20"/>
                <w:szCs w:val="20"/>
              </w:rPr>
            </w:pPr>
            <w:r w:rsidRPr="00F97013">
              <w:rPr>
                <w:sz w:val="20"/>
                <w:szCs w:val="20"/>
              </w:rPr>
              <w:t>33.3</w:t>
            </w:r>
            <w:r w:rsidR="00385070" w:rsidRPr="00F97013">
              <w:rPr>
                <w:sz w:val="20"/>
                <w:szCs w:val="20"/>
              </w:rPr>
              <w:t>%</w:t>
            </w:r>
          </w:p>
        </w:tc>
      </w:tr>
      <w:tr w:rsidR="00520C7C" w:rsidRPr="00520C7C" w14:paraId="31CC0CB5" w14:textId="77777777" w:rsidTr="00351B37">
        <w:trPr>
          <w:trHeight w:val="284"/>
        </w:trPr>
        <w:tc>
          <w:tcPr>
            <w:tcW w:w="2694" w:type="dxa"/>
            <w:shd w:val="clear" w:color="auto" w:fill="auto"/>
            <w:vAlign w:val="center"/>
          </w:tcPr>
          <w:p w14:paraId="61813A86" w14:textId="40D4C4AF" w:rsidR="00385070" w:rsidRPr="00520C7C" w:rsidRDefault="00385070" w:rsidP="00EB555B">
            <w:pPr>
              <w:rPr>
                <w:sz w:val="20"/>
                <w:szCs w:val="20"/>
              </w:rPr>
            </w:pPr>
            <w:r w:rsidRPr="00520C7C">
              <w:rPr>
                <w:sz w:val="20"/>
                <w:szCs w:val="20"/>
              </w:rPr>
              <w:t>Claiming incapacity benefit</w:t>
            </w:r>
          </w:p>
        </w:tc>
        <w:tc>
          <w:tcPr>
            <w:tcW w:w="1984" w:type="dxa"/>
            <w:shd w:val="clear" w:color="auto" w:fill="auto"/>
            <w:vAlign w:val="bottom"/>
          </w:tcPr>
          <w:p w14:paraId="35AEFEDF" w14:textId="77777777" w:rsidR="00385070" w:rsidRPr="00F97013" w:rsidRDefault="00385070" w:rsidP="008E5C05">
            <w:pPr>
              <w:jc w:val="right"/>
              <w:rPr>
                <w:sz w:val="20"/>
                <w:szCs w:val="20"/>
              </w:rPr>
            </w:pPr>
            <w:r w:rsidRPr="00F97013">
              <w:rPr>
                <w:sz w:val="20"/>
                <w:szCs w:val="20"/>
              </w:rPr>
              <w:t>5</w:t>
            </w:r>
          </w:p>
        </w:tc>
        <w:tc>
          <w:tcPr>
            <w:tcW w:w="1985" w:type="dxa"/>
            <w:shd w:val="clear" w:color="auto" w:fill="auto"/>
            <w:vAlign w:val="bottom"/>
          </w:tcPr>
          <w:p w14:paraId="157482D6" w14:textId="37A476EC" w:rsidR="00385070" w:rsidRPr="00F97013" w:rsidRDefault="00D95175" w:rsidP="008E5C05">
            <w:pPr>
              <w:jc w:val="right"/>
              <w:rPr>
                <w:sz w:val="20"/>
                <w:szCs w:val="20"/>
              </w:rPr>
            </w:pPr>
            <w:r w:rsidRPr="00F97013">
              <w:rPr>
                <w:sz w:val="20"/>
                <w:szCs w:val="20"/>
              </w:rPr>
              <w:t>3.3</w:t>
            </w:r>
            <w:r w:rsidR="00385070" w:rsidRPr="00F97013">
              <w:rPr>
                <w:sz w:val="20"/>
                <w:szCs w:val="20"/>
              </w:rPr>
              <w:t>%</w:t>
            </w:r>
          </w:p>
        </w:tc>
      </w:tr>
      <w:tr w:rsidR="00520C7C" w:rsidRPr="00520C7C" w14:paraId="47A981B5" w14:textId="77777777" w:rsidTr="00351B37">
        <w:trPr>
          <w:trHeight w:val="284"/>
        </w:trPr>
        <w:tc>
          <w:tcPr>
            <w:tcW w:w="2694" w:type="dxa"/>
            <w:shd w:val="clear" w:color="auto" w:fill="auto"/>
            <w:vAlign w:val="center"/>
          </w:tcPr>
          <w:p w14:paraId="7C1041BC" w14:textId="5CA8E905" w:rsidR="00385070" w:rsidRPr="00520C7C" w:rsidRDefault="00385070" w:rsidP="00EB555B">
            <w:pPr>
              <w:rPr>
                <w:sz w:val="20"/>
                <w:szCs w:val="20"/>
              </w:rPr>
            </w:pPr>
            <w:r w:rsidRPr="00520C7C">
              <w:rPr>
                <w:sz w:val="20"/>
                <w:szCs w:val="20"/>
              </w:rPr>
              <w:t>Claiming job seekers allowance</w:t>
            </w:r>
          </w:p>
        </w:tc>
        <w:tc>
          <w:tcPr>
            <w:tcW w:w="1984" w:type="dxa"/>
            <w:shd w:val="clear" w:color="auto" w:fill="auto"/>
            <w:vAlign w:val="bottom"/>
          </w:tcPr>
          <w:p w14:paraId="16B6BC2A" w14:textId="77777777" w:rsidR="00385070" w:rsidRPr="00F97013" w:rsidRDefault="00385070" w:rsidP="008E5C05">
            <w:pPr>
              <w:jc w:val="right"/>
              <w:rPr>
                <w:sz w:val="20"/>
                <w:szCs w:val="20"/>
              </w:rPr>
            </w:pPr>
            <w:r w:rsidRPr="00F97013">
              <w:rPr>
                <w:sz w:val="20"/>
                <w:szCs w:val="20"/>
              </w:rPr>
              <w:t>6</w:t>
            </w:r>
          </w:p>
        </w:tc>
        <w:tc>
          <w:tcPr>
            <w:tcW w:w="1985" w:type="dxa"/>
            <w:shd w:val="clear" w:color="auto" w:fill="auto"/>
            <w:vAlign w:val="bottom"/>
          </w:tcPr>
          <w:p w14:paraId="7B5D5C43" w14:textId="3B72FE32" w:rsidR="00385070" w:rsidRPr="00F97013" w:rsidRDefault="00D95175" w:rsidP="008E5C05">
            <w:pPr>
              <w:jc w:val="right"/>
              <w:rPr>
                <w:sz w:val="20"/>
                <w:szCs w:val="20"/>
              </w:rPr>
            </w:pPr>
            <w:r w:rsidRPr="00F97013">
              <w:rPr>
                <w:sz w:val="20"/>
                <w:szCs w:val="20"/>
              </w:rPr>
              <w:t>3.9</w:t>
            </w:r>
            <w:r w:rsidR="00385070" w:rsidRPr="00F97013">
              <w:rPr>
                <w:sz w:val="20"/>
                <w:szCs w:val="20"/>
              </w:rPr>
              <w:t>%</w:t>
            </w:r>
          </w:p>
        </w:tc>
      </w:tr>
      <w:tr w:rsidR="002E4091" w:rsidRPr="00520C7C" w14:paraId="13F86C5D" w14:textId="77777777" w:rsidTr="00351B37">
        <w:trPr>
          <w:trHeight w:val="284"/>
        </w:trPr>
        <w:tc>
          <w:tcPr>
            <w:tcW w:w="2694" w:type="dxa"/>
            <w:shd w:val="clear" w:color="auto" w:fill="auto"/>
            <w:vAlign w:val="center"/>
          </w:tcPr>
          <w:p w14:paraId="7C5E9AD5" w14:textId="3841F3D7" w:rsidR="002E4091" w:rsidRPr="00520C7C" w:rsidRDefault="002E4091" w:rsidP="00EB555B">
            <w:pPr>
              <w:rPr>
                <w:sz w:val="20"/>
                <w:szCs w:val="20"/>
              </w:rPr>
            </w:pPr>
            <w:r>
              <w:rPr>
                <w:sz w:val="20"/>
                <w:szCs w:val="20"/>
              </w:rPr>
              <w:t>Not stated</w:t>
            </w:r>
          </w:p>
        </w:tc>
        <w:tc>
          <w:tcPr>
            <w:tcW w:w="1984" w:type="dxa"/>
            <w:shd w:val="clear" w:color="auto" w:fill="auto"/>
            <w:vAlign w:val="bottom"/>
          </w:tcPr>
          <w:p w14:paraId="5466E55F" w14:textId="18C6B523" w:rsidR="002E4091" w:rsidRPr="00F97013" w:rsidRDefault="00D95175" w:rsidP="008E5C05">
            <w:pPr>
              <w:jc w:val="right"/>
              <w:rPr>
                <w:sz w:val="20"/>
                <w:szCs w:val="20"/>
              </w:rPr>
            </w:pPr>
            <w:r w:rsidRPr="00F97013">
              <w:rPr>
                <w:sz w:val="20"/>
                <w:szCs w:val="20"/>
              </w:rPr>
              <w:t>14</w:t>
            </w:r>
          </w:p>
        </w:tc>
        <w:tc>
          <w:tcPr>
            <w:tcW w:w="1985" w:type="dxa"/>
            <w:shd w:val="clear" w:color="auto" w:fill="auto"/>
            <w:vAlign w:val="bottom"/>
          </w:tcPr>
          <w:p w14:paraId="0A7A616E" w14:textId="6E9340F2" w:rsidR="002E4091" w:rsidRPr="00F97013" w:rsidRDefault="00D95175" w:rsidP="008E5C05">
            <w:pPr>
              <w:jc w:val="right"/>
              <w:rPr>
                <w:sz w:val="20"/>
                <w:szCs w:val="20"/>
              </w:rPr>
            </w:pPr>
            <w:r w:rsidRPr="00F97013">
              <w:rPr>
                <w:sz w:val="20"/>
                <w:szCs w:val="20"/>
              </w:rPr>
              <w:t>9.2%</w:t>
            </w:r>
          </w:p>
        </w:tc>
      </w:tr>
      <w:tr w:rsidR="00520C7C" w:rsidRPr="00520C7C" w14:paraId="4ADD5D29" w14:textId="77777777" w:rsidTr="00351B37">
        <w:trPr>
          <w:trHeight w:val="284"/>
        </w:trPr>
        <w:tc>
          <w:tcPr>
            <w:tcW w:w="2694" w:type="dxa"/>
            <w:shd w:val="clear" w:color="auto" w:fill="EEECE1" w:themeFill="background2"/>
            <w:vAlign w:val="center"/>
          </w:tcPr>
          <w:p w14:paraId="4CE1D0E6" w14:textId="458EA26D" w:rsidR="00385070" w:rsidRPr="00520C7C" w:rsidRDefault="00385070" w:rsidP="002E4091">
            <w:pPr>
              <w:rPr>
                <w:sz w:val="20"/>
                <w:szCs w:val="20"/>
              </w:rPr>
            </w:pPr>
            <w:r w:rsidRPr="00520C7C">
              <w:rPr>
                <w:b/>
                <w:bCs/>
                <w:sz w:val="20"/>
                <w:szCs w:val="20"/>
              </w:rPr>
              <w:t xml:space="preserve">Level of education </w:t>
            </w:r>
          </w:p>
        </w:tc>
        <w:tc>
          <w:tcPr>
            <w:tcW w:w="1984" w:type="dxa"/>
            <w:shd w:val="clear" w:color="auto" w:fill="EEECE1" w:themeFill="background2"/>
          </w:tcPr>
          <w:p w14:paraId="0E17E0B9" w14:textId="77777777" w:rsidR="00385070" w:rsidRPr="00F97013" w:rsidRDefault="00385070" w:rsidP="008E5C05">
            <w:pPr>
              <w:jc w:val="right"/>
              <w:rPr>
                <w:sz w:val="20"/>
                <w:szCs w:val="20"/>
              </w:rPr>
            </w:pPr>
          </w:p>
        </w:tc>
        <w:tc>
          <w:tcPr>
            <w:tcW w:w="1985" w:type="dxa"/>
            <w:shd w:val="clear" w:color="auto" w:fill="EEECE1" w:themeFill="background2"/>
          </w:tcPr>
          <w:p w14:paraId="4514D287" w14:textId="77777777" w:rsidR="00385070" w:rsidRPr="00F97013" w:rsidRDefault="00385070" w:rsidP="008E5C05">
            <w:pPr>
              <w:jc w:val="right"/>
              <w:rPr>
                <w:sz w:val="20"/>
                <w:szCs w:val="20"/>
              </w:rPr>
            </w:pPr>
          </w:p>
        </w:tc>
      </w:tr>
      <w:tr w:rsidR="00520C7C" w:rsidRPr="00520C7C" w14:paraId="350859B8" w14:textId="77777777" w:rsidTr="00351B37">
        <w:trPr>
          <w:trHeight w:val="284"/>
        </w:trPr>
        <w:tc>
          <w:tcPr>
            <w:tcW w:w="2694" w:type="dxa"/>
            <w:shd w:val="clear" w:color="auto" w:fill="auto"/>
            <w:vAlign w:val="center"/>
          </w:tcPr>
          <w:p w14:paraId="294BB8C0" w14:textId="3FA631A2" w:rsidR="00385070" w:rsidRPr="00520C7C" w:rsidRDefault="00385070" w:rsidP="00EB555B">
            <w:pPr>
              <w:rPr>
                <w:sz w:val="20"/>
                <w:szCs w:val="20"/>
              </w:rPr>
            </w:pPr>
            <w:r w:rsidRPr="00520C7C">
              <w:rPr>
                <w:sz w:val="20"/>
                <w:szCs w:val="20"/>
              </w:rPr>
              <w:t>Primary</w:t>
            </w:r>
          </w:p>
        </w:tc>
        <w:tc>
          <w:tcPr>
            <w:tcW w:w="1984" w:type="dxa"/>
            <w:shd w:val="clear" w:color="auto" w:fill="auto"/>
            <w:vAlign w:val="center"/>
          </w:tcPr>
          <w:p w14:paraId="58FB62D5" w14:textId="77777777" w:rsidR="00385070" w:rsidRPr="00F97013" w:rsidRDefault="00385070" w:rsidP="008E5C05">
            <w:pPr>
              <w:jc w:val="right"/>
              <w:rPr>
                <w:sz w:val="20"/>
                <w:szCs w:val="20"/>
              </w:rPr>
            </w:pPr>
            <w:r w:rsidRPr="00F97013">
              <w:rPr>
                <w:sz w:val="20"/>
                <w:szCs w:val="20"/>
              </w:rPr>
              <w:t>15</w:t>
            </w:r>
          </w:p>
        </w:tc>
        <w:tc>
          <w:tcPr>
            <w:tcW w:w="1985" w:type="dxa"/>
            <w:shd w:val="clear" w:color="auto" w:fill="auto"/>
          </w:tcPr>
          <w:p w14:paraId="3F0B715A" w14:textId="0BF9F669" w:rsidR="00385070" w:rsidRPr="00F97013" w:rsidRDefault="00D95175" w:rsidP="008E5C05">
            <w:pPr>
              <w:jc w:val="right"/>
              <w:rPr>
                <w:sz w:val="20"/>
                <w:szCs w:val="20"/>
              </w:rPr>
            </w:pPr>
            <w:r w:rsidRPr="00F97013">
              <w:rPr>
                <w:sz w:val="20"/>
                <w:szCs w:val="20"/>
              </w:rPr>
              <w:t>9.8</w:t>
            </w:r>
            <w:r w:rsidR="00385070" w:rsidRPr="00F97013">
              <w:rPr>
                <w:sz w:val="20"/>
                <w:szCs w:val="20"/>
              </w:rPr>
              <w:t>%</w:t>
            </w:r>
          </w:p>
        </w:tc>
      </w:tr>
      <w:tr w:rsidR="00520C7C" w:rsidRPr="00520C7C" w14:paraId="758B7B34" w14:textId="77777777" w:rsidTr="00351B37">
        <w:trPr>
          <w:trHeight w:val="284"/>
        </w:trPr>
        <w:tc>
          <w:tcPr>
            <w:tcW w:w="2694" w:type="dxa"/>
            <w:shd w:val="clear" w:color="auto" w:fill="auto"/>
            <w:vAlign w:val="center"/>
          </w:tcPr>
          <w:p w14:paraId="1C66C163" w14:textId="46E2548E" w:rsidR="00385070" w:rsidRPr="00520C7C" w:rsidRDefault="00385070" w:rsidP="00EB555B">
            <w:pPr>
              <w:rPr>
                <w:sz w:val="20"/>
                <w:szCs w:val="20"/>
              </w:rPr>
            </w:pPr>
            <w:r w:rsidRPr="00520C7C">
              <w:rPr>
                <w:sz w:val="20"/>
                <w:szCs w:val="20"/>
              </w:rPr>
              <w:t>Secondary (O level/GCSE)</w:t>
            </w:r>
          </w:p>
        </w:tc>
        <w:tc>
          <w:tcPr>
            <w:tcW w:w="1984" w:type="dxa"/>
            <w:shd w:val="clear" w:color="auto" w:fill="auto"/>
            <w:vAlign w:val="center"/>
          </w:tcPr>
          <w:p w14:paraId="2D15A8C4" w14:textId="77777777" w:rsidR="00385070" w:rsidRPr="00F97013" w:rsidRDefault="00385070" w:rsidP="008E5C05">
            <w:pPr>
              <w:jc w:val="right"/>
              <w:rPr>
                <w:sz w:val="20"/>
                <w:szCs w:val="20"/>
              </w:rPr>
            </w:pPr>
            <w:r w:rsidRPr="00F97013">
              <w:rPr>
                <w:sz w:val="20"/>
                <w:szCs w:val="20"/>
              </w:rPr>
              <w:t>35</w:t>
            </w:r>
          </w:p>
        </w:tc>
        <w:tc>
          <w:tcPr>
            <w:tcW w:w="1985" w:type="dxa"/>
            <w:shd w:val="clear" w:color="auto" w:fill="auto"/>
          </w:tcPr>
          <w:p w14:paraId="32F82AB7" w14:textId="0F6EC036" w:rsidR="00385070" w:rsidRPr="00F97013" w:rsidRDefault="00D95175" w:rsidP="008E5C05">
            <w:pPr>
              <w:jc w:val="right"/>
              <w:rPr>
                <w:sz w:val="20"/>
                <w:szCs w:val="20"/>
              </w:rPr>
            </w:pPr>
            <w:r w:rsidRPr="00F97013">
              <w:rPr>
                <w:sz w:val="20"/>
                <w:szCs w:val="20"/>
              </w:rPr>
              <w:t>22.9</w:t>
            </w:r>
            <w:r w:rsidR="00385070" w:rsidRPr="00F97013">
              <w:rPr>
                <w:sz w:val="20"/>
                <w:szCs w:val="20"/>
              </w:rPr>
              <w:t>%</w:t>
            </w:r>
          </w:p>
        </w:tc>
      </w:tr>
      <w:tr w:rsidR="00520C7C" w:rsidRPr="00520C7C" w14:paraId="04AADEF7" w14:textId="77777777" w:rsidTr="00351B37">
        <w:trPr>
          <w:trHeight w:val="284"/>
        </w:trPr>
        <w:tc>
          <w:tcPr>
            <w:tcW w:w="2694" w:type="dxa"/>
            <w:shd w:val="clear" w:color="auto" w:fill="auto"/>
            <w:vAlign w:val="center"/>
          </w:tcPr>
          <w:p w14:paraId="03027A19" w14:textId="551C0D01" w:rsidR="00385070" w:rsidRPr="00520C7C" w:rsidRDefault="00385070" w:rsidP="00EB555B">
            <w:pPr>
              <w:rPr>
                <w:sz w:val="20"/>
                <w:szCs w:val="20"/>
              </w:rPr>
            </w:pPr>
            <w:r w:rsidRPr="00520C7C">
              <w:rPr>
                <w:sz w:val="20"/>
                <w:szCs w:val="20"/>
              </w:rPr>
              <w:t>Secondary (A level)</w:t>
            </w:r>
          </w:p>
        </w:tc>
        <w:tc>
          <w:tcPr>
            <w:tcW w:w="1984" w:type="dxa"/>
            <w:shd w:val="clear" w:color="auto" w:fill="auto"/>
            <w:vAlign w:val="center"/>
          </w:tcPr>
          <w:p w14:paraId="1112BC78" w14:textId="77777777" w:rsidR="00385070" w:rsidRPr="00F97013" w:rsidRDefault="00385070" w:rsidP="008E5C05">
            <w:pPr>
              <w:jc w:val="right"/>
              <w:rPr>
                <w:sz w:val="20"/>
                <w:szCs w:val="20"/>
              </w:rPr>
            </w:pPr>
            <w:r w:rsidRPr="00F97013">
              <w:rPr>
                <w:sz w:val="20"/>
                <w:szCs w:val="20"/>
              </w:rPr>
              <w:t>26</w:t>
            </w:r>
          </w:p>
        </w:tc>
        <w:tc>
          <w:tcPr>
            <w:tcW w:w="1985" w:type="dxa"/>
            <w:shd w:val="clear" w:color="auto" w:fill="auto"/>
          </w:tcPr>
          <w:p w14:paraId="16D50198" w14:textId="26D09596" w:rsidR="00385070" w:rsidRPr="00F97013" w:rsidRDefault="00D95175" w:rsidP="008E5C05">
            <w:pPr>
              <w:jc w:val="right"/>
              <w:rPr>
                <w:sz w:val="20"/>
                <w:szCs w:val="20"/>
              </w:rPr>
            </w:pPr>
            <w:r w:rsidRPr="00F97013">
              <w:rPr>
                <w:sz w:val="20"/>
                <w:szCs w:val="20"/>
              </w:rPr>
              <w:t>17.0</w:t>
            </w:r>
            <w:r w:rsidR="00385070" w:rsidRPr="00F97013">
              <w:rPr>
                <w:sz w:val="20"/>
                <w:szCs w:val="20"/>
              </w:rPr>
              <w:t>%</w:t>
            </w:r>
          </w:p>
        </w:tc>
      </w:tr>
      <w:tr w:rsidR="00520C7C" w:rsidRPr="00520C7C" w14:paraId="2EC89FD0" w14:textId="77777777" w:rsidTr="00351B37">
        <w:trPr>
          <w:trHeight w:val="284"/>
        </w:trPr>
        <w:tc>
          <w:tcPr>
            <w:tcW w:w="2694" w:type="dxa"/>
            <w:shd w:val="clear" w:color="auto" w:fill="auto"/>
            <w:vAlign w:val="center"/>
          </w:tcPr>
          <w:p w14:paraId="2A386CCB" w14:textId="0E7ADA50" w:rsidR="00385070" w:rsidRPr="00520C7C" w:rsidRDefault="00385070" w:rsidP="00EB555B">
            <w:pPr>
              <w:rPr>
                <w:sz w:val="20"/>
                <w:szCs w:val="20"/>
              </w:rPr>
            </w:pPr>
            <w:r w:rsidRPr="00520C7C">
              <w:rPr>
                <w:sz w:val="20"/>
                <w:szCs w:val="20"/>
              </w:rPr>
              <w:t>Further education (HND)</w:t>
            </w:r>
          </w:p>
        </w:tc>
        <w:tc>
          <w:tcPr>
            <w:tcW w:w="1984" w:type="dxa"/>
            <w:shd w:val="clear" w:color="auto" w:fill="auto"/>
            <w:vAlign w:val="center"/>
          </w:tcPr>
          <w:p w14:paraId="51B27106" w14:textId="2B075749" w:rsidR="00385070" w:rsidRPr="00F97013" w:rsidRDefault="00D95175" w:rsidP="00D95175">
            <w:pPr>
              <w:jc w:val="right"/>
              <w:rPr>
                <w:sz w:val="20"/>
                <w:szCs w:val="20"/>
              </w:rPr>
            </w:pPr>
            <w:r w:rsidRPr="00F97013">
              <w:rPr>
                <w:sz w:val="20"/>
                <w:szCs w:val="20"/>
              </w:rPr>
              <w:t>24</w:t>
            </w:r>
          </w:p>
        </w:tc>
        <w:tc>
          <w:tcPr>
            <w:tcW w:w="1985" w:type="dxa"/>
            <w:shd w:val="clear" w:color="auto" w:fill="auto"/>
          </w:tcPr>
          <w:p w14:paraId="45A6E5BF" w14:textId="53AC6369" w:rsidR="00385070" w:rsidRPr="00F97013" w:rsidRDefault="00D95175" w:rsidP="008E5C05">
            <w:pPr>
              <w:jc w:val="right"/>
              <w:rPr>
                <w:sz w:val="20"/>
                <w:szCs w:val="20"/>
              </w:rPr>
            </w:pPr>
            <w:r w:rsidRPr="00F97013">
              <w:rPr>
                <w:sz w:val="20"/>
                <w:szCs w:val="20"/>
              </w:rPr>
              <w:t>15.7</w:t>
            </w:r>
            <w:r w:rsidR="00385070" w:rsidRPr="00F97013">
              <w:rPr>
                <w:sz w:val="20"/>
                <w:szCs w:val="20"/>
              </w:rPr>
              <w:t>%</w:t>
            </w:r>
          </w:p>
        </w:tc>
      </w:tr>
      <w:tr w:rsidR="00520C7C" w:rsidRPr="00520C7C" w14:paraId="498FADD5" w14:textId="77777777" w:rsidTr="00351B37">
        <w:trPr>
          <w:trHeight w:val="284"/>
        </w:trPr>
        <w:tc>
          <w:tcPr>
            <w:tcW w:w="2694" w:type="dxa"/>
            <w:shd w:val="clear" w:color="auto" w:fill="auto"/>
            <w:vAlign w:val="center"/>
          </w:tcPr>
          <w:p w14:paraId="61A7B6B7" w14:textId="1C268F64" w:rsidR="00385070" w:rsidRPr="00520C7C" w:rsidRDefault="00F40EF2" w:rsidP="00EB555B">
            <w:pPr>
              <w:rPr>
                <w:sz w:val="20"/>
                <w:szCs w:val="20"/>
              </w:rPr>
            </w:pPr>
            <w:r w:rsidRPr="00520C7C">
              <w:rPr>
                <w:sz w:val="20"/>
                <w:szCs w:val="20"/>
              </w:rPr>
              <w:t>Bachelors</w:t>
            </w:r>
            <w:r w:rsidR="00385070" w:rsidRPr="00520C7C">
              <w:rPr>
                <w:sz w:val="20"/>
                <w:szCs w:val="20"/>
              </w:rPr>
              <w:t xml:space="preserve"> or equivalent</w:t>
            </w:r>
          </w:p>
        </w:tc>
        <w:tc>
          <w:tcPr>
            <w:tcW w:w="1984" w:type="dxa"/>
            <w:shd w:val="clear" w:color="auto" w:fill="auto"/>
            <w:vAlign w:val="center"/>
          </w:tcPr>
          <w:p w14:paraId="7A19879C" w14:textId="77777777" w:rsidR="00385070" w:rsidRPr="00F97013" w:rsidRDefault="00385070" w:rsidP="008E5C05">
            <w:pPr>
              <w:jc w:val="right"/>
              <w:rPr>
                <w:sz w:val="20"/>
                <w:szCs w:val="20"/>
              </w:rPr>
            </w:pPr>
            <w:r w:rsidRPr="00F97013">
              <w:rPr>
                <w:sz w:val="20"/>
                <w:szCs w:val="20"/>
              </w:rPr>
              <w:t>21</w:t>
            </w:r>
          </w:p>
        </w:tc>
        <w:tc>
          <w:tcPr>
            <w:tcW w:w="1985" w:type="dxa"/>
            <w:shd w:val="clear" w:color="auto" w:fill="auto"/>
          </w:tcPr>
          <w:p w14:paraId="4074528C" w14:textId="07824CF4" w:rsidR="00385070" w:rsidRPr="00F97013" w:rsidRDefault="00D95175" w:rsidP="008E5C05">
            <w:pPr>
              <w:jc w:val="right"/>
              <w:rPr>
                <w:sz w:val="20"/>
                <w:szCs w:val="20"/>
              </w:rPr>
            </w:pPr>
            <w:r w:rsidRPr="00F97013">
              <w:rPr>
                <w:sz w:val="20"/>
                <w:szCs w:val="20"/>
              </w:rPr>
              <w:t>13.7</w:t>
            </w:r>
            <w:r w:rsidR="00385070" w:rsidRPr="00F97013">
              <w:rPr>
                <w:sz w:val="20"/>
                <w:szCs w:val="20"/>
              </w:rPr>
              <w:t>%</w:t>
            </w:r>
          </w:p>
        </w:tc>
      </w:tr>
      <w:tr w:rsidR="00385070" w:rsidRPr="00520C7C" w14:paraId="2A38D460" w14:textId="77777777" w:rsidTr="00351B37">
        <w:trPr>
          <w:trHeight w:val="284"/>
        </w:trPr>
        <w:tc>
          <w:tcPr>
            <w:tcW w:w="2694" w:type="dxa"/>
            <w:shd w:val="clear" w:color="auto" w:fill="auto"/>
            <w:vAlign w:val="center"/>
          </w:tcPr>
          <w:p w14:paraId="280CB094" w14:textId="0FAA6BA1" w:rsidR="00385070" w:rsidRPr="00520C7C" w:rsidRDefault="00385070" w:rsidP="00EB555B">
            <w:pPr>
              <w:rPr>
                <w:sz w:val="20"/>
                <w:szCs w:val="20"/>
              </w:rPr>
            </w:pPr>
            <w:r w:rsidRPr="00520C7C">
              <w:rPr>
                <w:sz w:val="20"/>
                <w:szCs w:val="20"/>
              </w:rPr>
              <w:t>Masters or equivalent</w:t>
            </w:r>
          </w:p>
        </w:tc>
        <w:tc>
          <w:tcPr>
            <w:tcW w:w="1984" w:type="dxa"/>
            <w:shd w:val="clear" w:color="auto" w:fill="auto"/>
            <w:vAlign w:val="center"/>
          </w:tcPr>
          <w:p w14:paraId="09DEDC56" w14:textId="3DA5702A" w:rsidR="00385070" w:rsidRPr="00F97013" w:rsidRDefault="00385070" w:rsidP="008E5C05">
            <w:pPr>
              <w:jc w:val="right"/>
              <w:rPr>
                <w:sz w:val="20"/>
                <w:szCs w:val="20"/>
              </w:rPr>
            </w:pPr>
            <w:r w:rsidRPr="00F97013">
              <w:rPr>
                <w:sz w:val="20"/>
                <w:szCs w:val="20"/>
              </w:rPr>
              <w:t>5</w:t>
            </w:r>
          </w:p>
        </w:tc>
        <w:tc>
          <w:tcPr>
            <w:tcW w:w="1985" w:type="dxa"/>
            <w:shd w:val="clear" w:color="auto" w:fill="auto"/>
          </w:tcPr>
          <w:p w14:paraId="45B7760E" w14:textId="2CCEF120" w:rsidR="00385070" w:rsidRPr="00F97013" w:rsidRDefault="00385070" w:rsidP="00D95175">
            <w:pPr>
              <w:jc w:val="right"/>
              <w:rPr>
                <w:sz w:val="20"/>
                <w:szCs w:val="20"/>
              </w:rPr>
            </w:pPr>
            <w:r w:rsidRPr="00F97013">
              <w:rPr>
                <w:sz w:val="20"/>
                <w:szCs w:val="20"/>
              </w:rPr>
              <w:t>3.</w:t>
            </w:r>
            <w:r w:rsidR="00D95175" w:rsidRPr="00F97013">
              <w:rPr>
                <w:sz w:val="20"/>
                <w:szCs w:val="20"/>
              </w:rPr>
              <w:t>3</w:t>
            </w:r>
            <w:r w:rsidRPr="00F97013">
              <w:rPr>
                <w:sz w:val="20"/>
                <w:szCs w:val="20"/>
              </w:rPr>
              <w:t>%</w:t>
            </w:r>
          </w:p>
        </w:tc>
      </w:tr>
      <w:tr w:rsidR="00D95175" w:rsidRPr="00520C7C" w14:paraId="00A7813A" w14:textId="77777777" w:rsidTr="00351B37">
        <w:trPr>
          <w:trHeight w:val="284"/>
        </w:trPr>
        <w:tc>
          <w:tcPr>
            <w:tcW w:w="2694" w:type="dxa"/>
            <w:tcBorders>
              <w:bottom w:val="single" w:sz="4" w:space="0" w:color="auto"/>
            </w:tcBorders>
            <w:shd w:val="clear" w:color="auto" w:fill="auto"/>
            <w:vAlign w:val="center"/>
          </w:tcPr>
          <w:p w14:paraId="36AF14BA" w14:textId="7561AE13" w:rsidR="00D95175" w:rsidRPr="00520C7C" w:rsidRDefault="00D95175" w:rsidP="00EB555B">
            <w:pPr>
              <w:rPr>
                <w:sz w:val="20"/>
                <w:szCs w:val="20"/>
              </w:rPr>
            </w:pPr>
            <w:r>
              <w:rPr>
                <w:sz w:val="20"/>
                <w:szCs w:val="20"/>
              </w:rPr>
              <w:t>Not stated</w:t>
            </w:r>
          </w:p>
        </w:tc>
        <w:tc>
          <w:tcPr>
            <w:tcW w:w="1984" w:type="dxa"/>
            <w:tcBorders>
              <w:bottom w:val="single" w:sz="4" w:space="0" w:color="auto"/>
            </w:tcBorders>
            <w:shd w:val="clear" w:color="auto" w:fill="auto"/>
            <w:vAlign w:val="center"/>
          </w:tcPr>
          <w:p w14:paraId="75BB0460" w14:textId="23203286" w:rsidR="00D95175" w:rsidRPr="00F97013" w:rsidRDefault="00D95175" w:rsidP="008E5C05">
            <w:pPr>
              <w:jc w:val="right"/>
              <w:rPr>
                <w:sz w:val="20"/>
                <w:szCs w:val="20"/>
              </w:rPr>
            </w:pPr>
            <w:r w:rsidRPr="00F97013">
              <w:rPr>
                <w:sz w:val="20"/>
                <w:szCs w:val="20"/>
              </w:rPr>
              <w:t>27</w:t>
            </w:r>
          </w:p>
        </w:tc>
        <w:tc>
          <w:tcPr>
            <w:tcW w:w="1985" w:type="dxa"/>
            <w:tcBorders>
              <w:bottom w:val="single" w:sz="4" w:space="0" w:color="auto"/>
            </w:tcBorders>
            <w:shd w:val="clear" w:color="auto" w:fill="auto"/>
          </w:tcPr>
          <w:p w14:paraId="22A3CACB" w14:textId="7A992799" w:rsidR="00D95175" w:rsidRPr="00F97013" w:rsidRDefault="00D95175" w:rsidP="00D95175">
            <w:pPr>
              <w:jc w:val="right"/>
              <w:rPr>
                <w:sz w:val="20"/>
                <w:szCs w:val="20"/>
              </w:rPr>
            </w:pPr>
            <w:r w:rsidRPr="00F97013">
              <w:rPr>
                <w:sz w:val="20"/>
                <w:szCs w:val="20"/>
              </w:rPr>
              <w:t>17.6%</w:t>
            </w:r>
          </w:p>
        </w:tc>
      </w:tr>
      <w:tr w:rsidR="00351B37" w:rsidRPr="00520C7C" w14:paraId="283D6328" w14:textId="77777777" w:rsidTr="00351B37">
        <w:trPr>
          <w:trHeight w:val="284"/>
        </w:trPr>
        <w:tc>
          <w:tcPr>
            <w:tcW w:w="6663" w:type="dxa"/>
            <w:gridSpan w:val="3"/>
            <w:tcBorders>
              <w:top w:val="single" w:sz="4" w:space="0" w:color="auto"/>
              <w:bottom w:val="single" w:sz="4" w:space="0" w:color="auto"/>
            </w:tcBorders>
            <w:shd w:val="clear" w:color="auto" w:fill="auto"/>
            <w:vAlign w:val="center"/>
          </w:tcPr>
          <w:p w14:paraId="44243AA0" w14:textId="66EA5452" w:rsidR="00351B37" w:rsidRPr="00F97013" w:rsidRDefault="00351B37" w:rsidP="00351B37">
            <w:pPr>
              <w:rPr>
                <w:sz w:val="20"/>
                <w:szCs w:val="20"/>
              </w:rPr>
            </w:pPr>
            <w:r w:rsidRPr="00F97013">
              <w:rPr>
                <w:sz w:val="20"/>
                <w:szCs w:val="20"/>
              </w:rPr>
              <w:t xml:space="preserve">Age, gender and postcode (IMD calculated by the programme provider) recorded from the referral form. </w:t>
            </w:r>
          </w:p>
          <w:p w14:paraId="2A63DEC9" w14:textId="77777777" w:rsidR="00351B37" w:rsidRPr="00F97013" w:rsidRDefault="00351B37" w:rsidP="00351B37">
            <w:pPr>
              <w:rPr>
                <w:sz w:val="20"/>
                <w:szCs w:val="20"/>
              </w:rPr>
            </w:pPr>
          </w:p>
          <w:p w14:paraId="25DE03BB" w14:textId="16FCCE27" w:rsidR="00351B37" w:rsidRPr="00F97013" w:rsidRDefault="00351B37" w:rsidP="00351B37">
            <w:pPr>
              <w:rPr>
                <w:sz w:val="20"/>
                <w:szCs w:val="20"/>
              </w:rPr>
            </w:pPr>
            <w:r w:rsidRPr="00F97013">
              <w:rPr>
                <w:sz w:val="20"/>
                <w:szCs w:val="20"/>
              </w:rPr>
              <w:t>Employment and level of education self-reported by participants during the first session. The provider did not follow up missing data.</w:t>
            </w:r>
          </w:p>
          <w:p w14:paraId="5604C7C6" w14:textId="77777777" w:rsidR="00351B37" w:rsidRPr="00F97013" w:rsidRDefault="00351B37" w:rsidP="00351B37">
            <w:pPr>
              <w:rPr>
                <w:sz w:val="20"/>
                <w:szCs w:val="20"/>
              </w:rPr>
            </w:pPr>
          </w:p>
          <w:p w14:paraId="23AC68CE" w14:textId="41864D83" w:rsidR="00351B37" w:rsidRDefault="00351B37" w:rsidP="00827586">
            <w:pPr>
              <w:rPr>
                <w:sz w:val="20"/>
                <w:szCs w:val="20"/>
              </w:rPr>
            </w:pPr>
            <w:r w:rsidRPr="00F97013">
              <w:rPr>
                <w:sz w:val="20"/>
                <w:szCs w:val="20"/>
              </w:rPr>
              <w:t xml:space="preserve">BMI and leisure site recorded by the provider. </w:t>
            </w:r>
            <w:r w:rsidR="00827586" w:rsidRPr="00F97013">
              <w:rPr>
                <w:sz w:val="20"/>
                <w:szCs w:val="20"/>
              </w:rPr>
              <w:t xml:space="preserve">Missing data </w:t>
            </w:r>
            <w:r w:rsidR="006C366F" w:rsidRPr="00F97013">
              <w:rPr>
                <w:sz w:val="20"/>
                <w:szCs w:val="20"/>
              </w:rPr>
              <w:t xml:space="preserve">not available for analysis and </w:t>
            </w:r>
            <w:r w:rsidR="00827586" w:rsidRPr="00F97013">
              <w:rPr>
                <w:sz w:val="20"/>
                <w:szCs w:val="20"/>
              </w:rPr>
              <w:t xml:space="preserve">presumed to </w:t>
            </w:r>
            <w:r w:rsidR="006C366F" w:rsidRPr="00F97013">
              <w:rPr>
                <w:sz w:val="20"/>
                <w:szCs w:val="20"/>
              </w:rPr>
              <w:t xml:space="preserve">be </w:t>
            </w:r>
            <w:r w:rsidR="00827586" w:rsidRPr="00F97013">
              <w:rPr>
                <w:sz w:val="20"/>
                <w:szCs w:val="20"/>
              </w:rPr>
              <w:t>data entry errors.</w:t>
            </w:r>
          </w:p>
        </w:tc>
      </w:tr>
    </w:tbl>
    <w:p w14:paraId="121022A0" w14:textId="77777777" w:rsidR="00F2327B" w:rsidRDefault="00F2327B" w:rsidP="00ED3346">
      <w:pPr>
        <w:spacing w:line="480" w:lineRule="auto"/>
        <w:rPr>
          <w:b/>
          <w:shd w:val="clear" w:color="auto" w:fill="FFFFFF"/>
        </w:rPr>
      </w:pPr>
    </w:p>
    <w:p w14:paraId="4FB70605" w14:textId="7DA73102" w:rsidR="00ED3346" w:rsidRPr="00520C7C" w:rsidRDefault="00ED3346" w:rsidP="00ED3346">
      <w:pPr>
        <w:spacing w:line="480" w:lineRule="auto"/>
        <w:rPr>
          <w:b/>
        </w:rPr>
      </w:pPr>
      <w:r w:rsidRPr="00520C7C">
        <w:rPr>
          <w:b/>
          <w:shd w:val="clear" w:color="auto" w:fill="FFFFFF"/>
        </w:rPr>
        <w:t xml:space="preserve">Implementation effectiveness: </w:t>
      </w:r>
      <w:r w:rsidRPr="00520C7C">
        <w:rPr>
          <w:b/>
        </w:rPr>
        <w:t>reflections from referring healthcare professionals</w:t>
      </w:r>
    </w:p>
    <w:p w14:paraId="3B6EC449" w14:textId="77777777" w:rsidR="00ED3346" w:rsidRPr="00520C7C" w:rsidRDefault="00ED3346" w:rsidP="00ED3346">
      <w:pPr>
        <w:spacing w:line="480" w:lineRule="auto"/>
        <w:rPr>
          <w:b/>
        </w:rPr>
      </w:pPr>
    </w:p>
    <w:p w14:paraId="236CEF86" w14:textId="77777777" w:rsidR="00ED3346" w:rsidRPr="00520C7C" w:rsidRDefault="00ED3346" w:rsidP="00ED3346">
      <w:pPr>
        <w:spacing w:line="480" w:lineRule="auto"/>
        <w:rPr>
          <w:rFonts w:eastAsia="Calibri"/>
        </w:rPr>
      </w:pPr>
      <w:r w:rsidRPr="00520C7C">
        <w:t>Five face-to-face semi-structured interviews took place with HCPs across five referring surgeries: two GPs, two Practice Nurses and one Health Care Assistant. HCPs perceived that f</w:t>
      </w:r>
      <w:r w:rsidRPr="00520C7C">
        <w:rPr>
          <w:rFonts w:eastAsia="Calibri"/>
        </w:rPr>
        <w:t>our key themes influenced the effectiveness of programme implementation: (</w:t>
      </w:r>
      <w:proofErr w:type="spellStart"/>
      <w:r w:rsidRPr="00520C7C">
        <w:rPr>
          <w:rFonts w:eastAsia="Calibri"/>
        </w:rPr>
        <w:t>i</w:t>
      </w:r>
      <w:proofErr w:type="spellEnd"/>
      <w:r w:rsidRPr="00520C7C">
        <w:rPr>
          <w:rFonts w:eastAsia="Calibri"/>
        </w:rPr>
        <w:t xml:space="preserve">) difficulties raising weight with patients, (ii) how gender affected patient engagement, (iii) availability of information and resources, and </w:t>
      </w:r>
      <w:proofErr w:type="gramStart"/>
      <w:r w:rsidRPr="00520C7C">
        <w:rPr>
          <w:rFonts w:eastAsia="Calibri"/>
        </w:rPr>
        <w:t>(iv) additional</w:t>
      </w:r>
      <w:proofErr w:type="gramEnd"/>
      <w:r w:rsidRPr="00520C7C">
        <w:rPr>
          <w:rFonts w:eastAsia="Calibri"/>
        </w:rPr>
        <w:t xml:space="preserve"> barriers constraining programme promotion. </w:t>
      </w:r>
    </w:p>
    <w:p w14:paraId="252DBAB4" w14:textId="77777777" w:rsidR="00ED3346" w:rsidRPr="00520C7C" w:rsidRDefault="00ED3346" w:rsidP="00ED3346">
      <w:pPr>
        <w:spacing w:line="480" w:lineRule="auto"/>
        <w:rPr>
          <w:rFonts w:eastAsia="Calibri"/>
        </w:rPr>
      </w:pPr>
    </w:p>
    <w:p w14:paraId="666048C1" w14:textId="77777777" w:rsidR="00ED3346" w:rsidRPr="00520C7C" w:rsidRDefault="00ED3346" w:rsidP="00ED3346">
      <w:pPr>
        <w:spacing w:line="480" w:lineRule="auto"/>
      </w:pPr>
      <w:r w:rsidRPr="00520C7C">
        <w:t>Raising the issue of weight with patients:</w:t>
      </w:r>
    </w:p>
    <w:p w14:paraId="16D40B41" w14:textId="77777777" w:rsidR="00ED3346" w:rsidRPr="00520C7C" w:rsidRDefault="00ED3346" w:rsidP="00ED3346">
      <w:pPr>
        <w:spacing w:line="480" w:lineRule="auto"/>
      </w:pPr>
    </w:p>
    <w:p w14:paraId="5FC068BF" w14:textId="77777777" w:rsidR="00ED3346" w:rsidRPr="00520C7C" w:rsidRDefault="00ED3346" w:rsidP="00ED3346">
      <w:pPr>
        <w:spacing w:line="480" w:lineRule="auto"/>
      </w:pPr>
      <w:r w:rsidRPr="00520C7C">
        <w:t>Concerns about raising weight may have contributed to slow recruitment, with nurses and healthcare assistants expressing unease,</w:t>
      </w:r>
      <w:r w:rsidRPr="00520C7C">
        <w:rPr>
          <w:rFonts w:eastAsia="Calibri"/>
          <w:i/>
        </w:rPr>
        <w:t xml:space="preserve"> ‘not really up to me… well I talk about it if they want to…. Better if they [patients] bring it up.’ </w:t>
      </w:r>
      <w:r w:rsidRPr="00520C7C">
        <w:rPr>
          <w:rFonts w:eastAsia="Calibri"/>
        </w:rPr>
        <w:t>(Interview 2, Healthcare Assistant).</w:t>
      </w:r>
      <w:r w:rsidRPr="00520C7C">
        <w:t xml:space="preserve"> GPs seemed </w:t>
      </w:r>
      <w:proofErr w:type="gramStart"/>
      <w:r w:rsidRPr="00520C7C">
        <w:t>more comfortable raising weight</w:t>
      </w:r>
      <w:proofErr w:type="gramEnd"/>
      <w:r w:rsidRPr="00520C7C">
        <w:t xml:space="preserve"> with patients, but with the caveat that this is easier in the context of a longer-term GP/patient relationship. </w:t>
      </w:r>
    </w:p>
    <w:p w14:paraId="737F40B3" w14:textId="77777777" w:rsidR="00ED3346" w:rsidRPr="00520C7C" w:rsidRDefault="00ED3346" w:rsidP="00ED3346">
      <w:pPr>
        <w:spacing w:line="480" w:lineRule="auto"/>
        <w:ind w:left="720"/>
      </w:pPr>
      <w:r w:rsidRPr="00520C7C">
        <w:rPr>
          <w:i/>
        </w:rPr>
        <w:t xml:space="preserve">‘the people I see I’ve known for a very long time… it’s the rapport you have…if I’d never met anyone before and they came in for a sore throat I’m not going to say you’re fat…If there was someone I’d known for a long time and it seemed relevant…I’d mention it.’ </w:t>
      </w:r>
      <w:r w:rsidRPr="00520C7C">
        <w:t>(Interview 5, GP).</w:t>
      </w:r>
    </w:p>
    <w:p w14:paraId="73E200A5" w14:textId="77777777" w:rsidR="00ED3346" w:rsidRPr="00520C7C" w:rsidRDefault="00ED3346" w:rsidP="00ED3346">
      <w:pPr>
        <w:spacing w:line="480" w:lineRule="auto"/>
      </w:pPr>
    </w:p>
    <w:p w14:paraId="403FB041" w14:textId="77777777" w:rsidR="00ED3346" w:rsidRPr="00520C7C" w:rsidRDefault="00ED3346" w:rsidP="00ED3346">
      <w:pPr>
        <w:spacing w:line="480" w:lineRule="auto"/>
      </w:pPr>
      <w:r w:rsidRPr="00520C7C">
        <w:t>Gender and engagement in the referral process:</w:t>
      </w:r>
    </w:p>
    <w:p w14:paraId="66598042" w14:textId="77777777" w:rsidR="00ED3346" w:rsidRPr="00520C7C" w:rsidRDefault="00ED3346" w:rsidP="00ED3346">
      <w:pPr>
        <w:spacing w:line="480" w:lineRule="auto"/>
      </w:pPr>
    </w:p>
    <w:p w14:paraId="129A4B3B" w14:textId="77777777" w:rsidR="00ED3346" w:rsidRPr="00520C7C" w:rsidRDefault="00ED3346" w:rsidP="00ED3346">
      <w:pPr>
        <w:spacing w:line="480" w:lineRule="auto"/>
      </w:pPr>
      <w:r w:rsidRPr="00520C7C">
        <w:t xml:space="preserve">Gender was highlighted as influencing the referral process, women being more likely than men to seek support for </w:t>
      </w:r>
      <w:proofErr w:type="gramStart"/>
      <w:r w:rsidRPr="00520C7C">
        <w:t>weight</w:t>
      </w:r>
      <w:proofErr w:type="gramEnd"/>
      <w:r w:rsidRPr="00520C7C">
        <w:t>. This may help explain the low rate of referral for males (17%):</w:t>
      </w:r>
    </w:p>
    <w:p w14:paraId="4444D573" w14:textId="77777777" w:rsidR="00ED3346" w:rsidRPr="00520C7C" w:rsidRDefault="00ED3346" w:rsidP="00ED3346">
      <w:pPr>
        <w:spacing w:line="480" w:lineRule="auto"/>
        <w:ind w:left="720"/>
      </w:pPr>
      <w:r w:rsidRPr="00520C7C">
        <w:rPr>
          <w:i/>
        </w:rPr>
        <w:t>‘More women talk about it…men don’t really talk about weight…I do mention weight to men if I’m doing a well man [sic] but it doesn’t come up really…it’s a woman thing…’</w:t>
      </w:r>
      <w:r w:rsidRPr="00520C7C">
        <w:t xml:space="preserve"> (Interview 3, Practice Nurse).</w:t>
      </w:r>
    </w:p>
    <w:p w14:paraId="1FBD6D67" w14:textId="77777777" w:rsidR="00ED3346" w:rsidRPr="00520C7C" w:rsidRDefault="00ED3346" w:rsidP="00ED3346">
      <w:pPr>
        <w:spacing w:line="480" w:lineRule="auto"/>
        <w:rPr>
          <w:b/>
          <w:sz w:val="28"/>
        </w:rPr>
      </w:pPr>
    </w:p>
    <w:p w14:paraId="411ACCFA" w14:textId="77777777" w:rsidR="00ED3346" w:rsidRPr="00520C7C" w:rsidRDefault="00ED3346" w:rsidP="00ED3346">
      <w:pPr>
        <w:spacing w:line="480" w:lineRule="auto"/>
      </w:pPr>
      <w:r w:rsidRPr="00520C7C">
        <w:t>Availability of information and resources:</w:t>
      </w:r>
    </w:p>
    <w:p w14:paraId="3C367461" w14:textId="77777777" w:rsidR="00ED3346" w:rsidRPr="00520C7C" w:rsidRDefault="00ED3346" w:rsidP="00ED3346">
      <w:pPr>
        <w:spacing w:line="480" w:lineRule="auto"/>
      </w:pPr>
    </w:p>
    <w:p w14:paraId="101B73C0" w14:textId="77777777" w:rsidR="00ED3346" w:rsidRPr="00520C7C" w:rsidRDefault="00ED3346" w:rsidP="00ED3346">
      <w:pPr>
        <w:spacing w:line="480" w:lineRule="auto"/>
      </w:pPr>
      <w:r w:rsidRPr="00520C7C">
        <w:t>Several interviewees highlighted training needs around programme information and resources, (e.g., additional programme information would help to engage patients).  For example, the GPs both discussed the longstanding ERS and stated they needed to become more familiar with Momenta, as they had with the ERS:</w:t>
      </w:r>
    </w:p>
    <w:p w14:paraId="08343D4F" w14:textId="77777777" w:rsidR="00ED3346" w:rsidRPr="00520C7C" w:rsidRDefault="00ED3346" w:rsidP="00ED3346">
      <w:pPr>
        <w:spacing w:line="480" w:lineRule="auto"/>
        <w:ind w:left="720"/>
      </w:pPr>
      <w:r w:rsidRPr="00520C7C">
        <w:rPr>
          <w:i/>
        </w:rPr>
        <w:t>‘</w:t>
      </w:r>
      <w:proofErr w:type="gramStart"/>
      <w:r w:rsidRPr="00520C7C">
        <w:rPr>
          <w:i/>
        </w:rPr>
        <w:t>when</w:t>
      </w:r>
      <w:proofErr w:type="gramEnd"/>
      <w:r w:rsidRPr="00520C7C">
        <w:rPr>
          <w:i/>
        </w:rPr>
        <w:t xml:space="preserve"> we get opportunities to do things in the practice we normally discuss it, let everyone know where appropriate forms and information is and it’s in your head…that didn’t happen with this and I don’t know why that was.’</w:t>
      </w:r>
      <w:r w:rsidRPr="00520C7C">
        <w:t xml:space="preserve"> (Interview 5, GP). </w:t>
      </w:r>
    </w:p>
    <w:p w14:paraId="5720A7C9" w14:textId="77777777" w:rsidR="00ED3346" w:rsidRPr="00520C7C" w:rsidRDefault="00ED3346" w:rsidP="00ED3346">
      <w:pPr>
        <w:spacing w:line="480" w:lineRule="auto"/>
        <w:ind w:left="720"/>
      </w:pPr>
    </w:p>
    <w:p w14:paraId="1AD1AAAE" w14:textId="77777777" w:rsidR="00ED3346" w:rsidRPr="00520C7C" w:rsidRDefault="00ED3346" w:rsidP="00ED3346">
      <w:pPr>
        <w:spacing w:after="200" w:line="480" w:lineRule="auto"/>
        <w:jc w:val="both"/>
        <w:rPr>
          <w:rFonts w:eastAsia="Calibri"/>
        </w:rPr>
      </w:pPr>
      <w:r w:rsidRPr="00520C7C">
        <w:rPr>
          <w:rFonts w:eastAsia="Calibri"/>
        </w:rPr>
        <w:t>All HCPs interviewed felt the referral leaflet (provided by programme providers) was important in the process, either as a tool to promote the intervention or to convey information to patients:</w:t>
      </w:r>
    </w:p>
    <w:p w14:paraId="788D94D2" w14:textId="77777777" w:rsidR="00ED3346" w:rsidRPr="00520C7C" w:rsidRDefault="00ED3346" w:rsidP="00ED3346">
      <w:pPr>
        <w:spacing w:after="200" w:line="480" w:lineRule="auto"/>
        <w:ind w:left="720"/>
        <w:jc w:val="both"/>
        <w:rPr>
          <w:rFonts w:eastAsia="Calibri"/>
          <w:i/>
        </w:rPr>
      </w:pPr>
      <w:r w:rsidRPr="00520C7C">
        <w:rPr>
          <w:rFonts w:eastAsia="Calibri"/>
          <w:i/>
        </w:rPr>
        <w:t xml:space="preserve">‘The leaflet was good, bright…explained the programme and patients like taking a leaflet away.’ </w:t>
      </w:r>
      <w:r w:rsidRPr="00520C7C">
        <w:rPr>
          <w:rFonts w:eastAsia="Calibri"/>
        </w:rPr>
        <w:t>(Interview 3, Practice Nurse)</w:t>
      </w:r>
    </w:p>
    <w:p w14:paraId="6A9344A8" w14:textId="77777777" w:rsidR="00ED3346" w:rsidRPr="00520C7C" w:rsidRDefault="00ED3346" w:rsidP="00ED3346">
      <w:pPr>
        <w:spacing w:after="200" w:line="480" w:lineRule="auto"/>
        <w:jc w:val="both"/>
        <w:rPr>
          <w:rFonts w:eastAsia="Calibri"/>
        </w:rPr>
      </w:pPr>
    </w:p>
    <w:p w14:paraId="55067B3C" w14:textId="77777777" w:rsidR="00D61876" w:rsidRDefault="00D61876" w:rsidP="00ED3346">
      <w:pPr>
        <w:spacing w:after="200" w:line="480" w:lineRule="auto"/>
        <w:jc w:val="both"/>
        <w:rPr>
          <w:rFonts w:eastAsia="Calibri"/>
        </w:rPr>
      </w:pPr>
    </w:p>
    <w:p w14:paraId="2EBDD15A" w14:textId="61ECD078" w:rsidR="00ED3346" w:rsidRPr="00520C7C" w:rsidRDefault="00ED3346" w:rsidP="00ED3346">
      <w:pPr>
        <w:spacing w:after="200" w:line="480" w:lineRule="auto"/>
        <w:jc w:val="both"/>
        <w:rPr>
          <w:rFonts w:eastAsia="Calibri"/>
        </w:rPr>
      </w:pPr>
      <w:r w:rsidRPr="00520C7C">
        <w:rPr>
          <w:rFonts w:eastAsia="Calibri"/>
        </w:rPr>
        <w:t>Additional Barriers to Engagement:</w:t>
      </w:r>
    </w:p>
    <w:p w14:paraId="431527E3" w14:textId="77777777" w:rsidR="00ED3346" w:rsidRPr="00520C7C" w:rsidRDefault="00ED3346" w:rsidP="00ED3346">
      <w:pPr>
        <w:spacing w:after="200" w:line="480" w:lineRule="auto"/>
        <w:jc w:val="both"/>
      </w:pPr>
    </w:p>
    <w:p w14:paraId="1DA8002A" w14:textId="77777777" w:rsidR="00ED3346" w:rsidRPr="00520C7C" w:rsidRDefault="00ED3346" w:rsidP="00ED3346">
      <w:pPr>
        <w:spacing w:line="480" w:lineRule="auto"/>
      </w:pPr>
      <w:r w:rsidRPr="00520C7C">
        <w:t>Several sub-themes highlighted additional barriers to the referral process.  The most prominent sub-themes were around initial BMI referral criteria (25.0-29.9 kg/m</w:t>
      </w:r>
      <w:r w:rsidRPr="00520C7C">
        <w:rPr>
          <w:vertAlign w:val="superscript"/>
        </w:rPr>
        <w:t>2</w:t>
      </w:r>
      <w:r w:rsidRPr="00520C7C">
        <w:t xml:space="preserve">) and delayed programme start. Both implementation factors were beyond the control of the referrers, but consequently amended through iterative refinement during the prototyping process following early data analysis. </w:t>
      </w:r>
      <w:proofErr w:type="gramStart"/>
      <w:r w:rsidRPr="00520C7C">
        <w:t>Both were reported by practice nurses as exacerbating each other</w:t>
      </w:r>
      <w:proofErr w:type="gramEnd"/>
      <w:r w:rsidRPr="00520C7C">
        <w:t>:</w:t>
      </w:r>
    </w:p>
    <w:p w14:paraId="511B16C9" w14:textId="77777777" w:rsidR="00ED3346" w:rsidRPr="00520C7C" w:rsidRDefault="00ED3346" w:rsidP="00ED3346">
      <w:pPr>
        <w:spacing w:line="480" w:lineRule="auto"/>
        <w:ind w:left="720"/>
      </w:pPr>
      <w:r w:rsidRPr="00520C7C">
        <w:t>‘</w:t>
      </w:r>
      <w:r w:rsidRPr="00520C7C">
        <w:rPr>
          <w:i/>
        </w:rPr>
        <w:t xml:space="preserve">we were referring but then it didn’t start so people were not sure what was happening [pause]…Think it was more people were needed to start…but you know if the BMI was higher </w:t>
      </w:r>
      <w:proofErr w:type="spellStart"/>
      <w:r w:rsidRPr="00520C7C">
        <w:rPr>
          <w:i/>
        </w:rPr>
        <w:t>then</w:t>
      </w:r>
      <w:proofErr w:type="spellEnd"/>
      <w:r w:rsidRPr="00520C7C">
        <w:rPr>
          <w:i/>
        </w:rPr>
        <w:t xml:space="preserve"> there would have been more</w:t>
      </w:r>
      <w:r w:rsidRPr="00520C7C">
        <w:t>.’ (Interview 3, Practice Nurse).</w:t>
      </w:r>
    </w:p>
    <w:p w14:paraId="1745FA75" w14:textId="77777777" w:rsidR="00ED3346" w:rsidRPr="00520C7C" w:rsidRDefault="00ED3346" w:rsidP="00ED3346">
      <w:pPr>
        <w:spacing w:line="480" w:lineRule="auto"/>
      </w:pPr>
    </w:p>
    <w:p w14:paraId="72A62162" w14:textId="77777777" w:rsidR="00ED3346" w:rsidRPr="00520C7C" w:rsidRDefault="00ED3346" w:rsidP="00ED3346">
      <w:pPr>
        <w:spacing w:line="480" w:lineRule="auto"/>
      </w:pPr>
      <w:r w:rsidRPr="00520C7C">
        <w:t xml:space="preserve">In one case, a decision was taken to relax the referral criteria, </w:t>
      </w:r>
      <w:r w:rsidRPr="00520C7C">
        <w:rPr>
          <w:i/>
        </w:rPr>
        <w:t>‘…31.5 [kg/m</w:t>
      </w:r>
      <w:r w:rsidRPr="00520C7C">
        <w:rPr>
          <w:i/>
          <w:vertAlign w:val="superscript"/>
        </w:rPr>
        <w:t>2</w:t>
      </w:r>
      <w:r w:rsidRPr="00520C7C">
        <w:rPr>
          <w:i/>
        </w:rPr>
        <w:t>]…was just outside so I just referred him</w:t>
      </w:r>
      <w:r w:rsidRPr="00520C7C">
        <w:t>.’ (Interview 4, GP).</w:t>
      </w:r>
    </w:p>
    <w:p w14:paraId="6A5BA65C" w14:textId="77777777" w:rsidR="00ED3346" w:rsidRPr="00520C7C" w:rsidRDefault="00ED3346" w:rsidP="00ED3346">
      <w:pPr>
        <w:spacing w:line="480" w:lineRule="auto"/>
      </w:pPr>
    </w:p>
    <w:p w14:paraId="5909F7B4" w14:textId="77777777" w:rsidR="00ED3346" w:rsidRPr="00520C7C" w:rsidRDefault="00ED3346" w:rsidP="00ED3346">
      <w:pPr>
        <w:spacing w:line="480" w:lineRule="auto"/>
      </w:pPr>
      <w:r w:rsidRPr="00520C7C">
        <w:t>Programme location was perceived by HCPs to overcome an existing barrier to the tier three weight management programme, as Momenta was ‘</w:t>
      </w:r>
      <w:r w:rsidRPr="00520C7C">
        <w:rPr>
          <w:i/>
        </w:rPr>
        <w:t>round the corner for people,</w:t>
      </w:r>
      <w:r w:rsidRPr="00520C7C">
        <w:t>’ as opposed to ‘</w:t>
      </w:r>
      <w:r w:rsidRPr="00520C7C">
        <w:rPr>
          <w:i/>
        </w:rPr>
        <w:t>a bit far away at the hospital.’</w:t>
      </w:r>
      <w:r w:rsidRPr="00520C7C">
        <w:t xml:space="preserve"> Cost barriers were also discussed, both with reference to the patient, </w:t>
      </w:r>
      <w:r w:rsidRPr="00520C7C">
        <w:rPr>
          <w:rFonts w:eastAsia="Calibri"/>
          <w:i/>
        </w:rPr>
        <w:t xml:space="preserve">‘in this sort of area…cost…, if </w:t>
      </w:r>
      <w:proofErr w:type="gramStart"/>
      <w:r w:rsidRPr="00520C7C">
        <w:rPr>
          <w:rFonts w:eastAsia="Calibri"/>
          <w:i/>
        </w:rPr>
        <w:t>you’ve got</w:t>
      </w:r>
      <w:proofErr w:type="gramEnd"/>
      <w:r w:rsidRPr="00520C7C">
        <w:rPr>
          <w:rFonts w:eastAsia="Calibri"/>
          <w:i/>
        </w:rPr>
        <w:t xml:space="preserve"> to pay it’s a barrier.’ </w:t>
      </w:r>
      <w:r w:rsidRPr="00520C7C">
        <w:rPr>
          <w:rFonts w:eastAsia="Calibri"/>
        </w:rPr>
        <w:t xml:space="preserve">(Interview 4, GP), and </w:t>
      </w:r>
      <w:r w:rsidRPr="00520C7C">
        <w:t>to expected targets from Clinical Commissioning Groups (CCG),</w:t>
      </w:r>
    </w:p>
    <w:p w14:paraId="6E709DE3" w14:textId="77777777" w:rsidR="00ED3346" w:rsidRPr="00520C7C" w:rsidRDefault="00ED3346" w:rsidP="00ED3346">
      <w:pPr>
        <w:spacing w:after="200" w:line="480" w:lineRule="auto"/>
        <w:ind w:left="720"/>
        <w:jc w:val="both"/>
        <w:rPr>
          <w:rFonts w:eastAsia="Calibri"/>
          <w:i/>
        </w:rPr>
      </w:pPr>
      <w:r w:rsidRPr="00520C7C">
        <w:rPr>
          <w:rFonts w:ascii="Arial" w:hAnsi="Arial" w:cs="Arial"/>
          <w:i/>
        </w:rPr>
        <w:t>‘</w:t>
      </w:r>
      <w:proofErr w:type="gramStart"/>
      <w:r w:rsidRPr="00520C7C">
        <w:rPr>
          <w:i/>
        </w:rPr>
        <w:t>we</w:t>
      </w:r>
      <w:proofErr w:type="gramEnd"/>
      <w:r w:rsidRPr="00520C7C">
        <w:rPr>
          <w:i/>
        </w:rPr>
        <w:t xml:space="preserve"> are constantly told by the CCG that we must keep down on numbers and that if there are costs attached to this referral that would definitely impact… and that would be for all practices.’ </w:t>
      </w:r>
      <w:r w:rsidRPr="00520C7C">
        <w:t>(Interview 5, GP)</w:t>
      </w:r>
    </w:p>
    <w:p w14:paraId="71660413" w14:textId="0B238D56" w:rsidR="00ED3346" w:rsidRDefault="00ED3346" w:rsidP="00ED3346">
      <w:pPr>
        <w:spacing w:line="480" w:lineRule="auto"/>
        <w:rPr>
          <w:b/>
          <w:shd w:val="clear" w:color="auto" w:fill="FFFFFF"/>
        </w:rPr>
      </w:pPr>
    </w:p>
    <w:p w14:paraId="6DF1C96C" w14:textId="77777777" w:rsidR="00D61876" w:rsidRPr="00520C7C" w:rsidRDefault="00D61876" w:rsidP="00ED3346">
      <w:pPr>
        <w:spacing w:line="480" w:lineRule="auto"/>
        <w:rPr>
          <w:b/>
          <w:shd w:val="clear" w:color="auto" w:fill="FFFFFF"/>
        </w:rPr>
      </w:pPr>
    </w:p>
    <w:p w14:paraId="71B73B6B" w14:textId="77777777" w:rsidR="00ED3346" w:rsidRPr="00520C7C" w:rsidRDefault="00ED3346" w:rsidP="00ED3346">
      <w:pPr>
        <w:spacing w:line="480" w:lineRule="auto"/>
        <w:rPr>
          <w:b/>
          <w:shd w:val="clear" w:color="auto" w:fill="FFFFFF"/>
        </w:rPr>
      </w:pPr>
      <w:r w:rsidRPr="00520C7C">
        <w:rPr>
          <w:b/>
          <w:shd w:val="clear" w:color="auto" w:fill="FFFFFF"/>
        </w:rPr>
        <w:t>Implementation effectiveness: reflections from participants</w:t>
      </w:r>
    </w:p>
    <w:p w14:paraId="1D6F7514" w14:textId="77777777" w:rsidR="00ED3346" w:rsidRPr="00520C7C" w:rsidRDefault="00ED3346" w:rsidP="00ED3346">
      <w:pPr>
        <w:spacing w:line="480" w:lineRule="auto"/>
        <w:rPr>
          <w:b/>
          <w:shd w:val="clear" w:color="auto" w:fill="FFFFFF"/>
        </w:rPr>
      </w:pPr>
    </w:p>
    <w:p w14:paraId="57EB47D2" w14:textId="77777777" w:rsidR="00ED3346" w:rsidRPr="00520C7C" w:rsidRDefault="00ED3346" w:rsidP="00ED3346">
      <w:pPr>
        <w:spacing w:after="200" w:line="480" w:lineRule="auto"/>
        <w:jc w:val="both"/>
        <w:rPr>
          <w:rFonts w:eastAsia="Calibri"/>
        </w:rPr>
      </w:pPr>
      <w:r w:rsidRPr="00520C7C">
        <w:rPr>
          <w:rFonts w:eastAsia="Calibri"/>
        </w:rPr>
        <w:t xml:space="preserve">Three focus groups </w:t>
      </w:r>
      <w:r>
        <w:rPr>
          <w:rFonts w:eastAsia="Calibri"/>
        </w:rPr>
        <w:t xml:space="preserve">in </w:t>
      </w:r>
      <w:r w:rsidRPr="00F97013">
        <w:rPr>
          <w:rFonts w:eastAsia="Calibri"/>
        </w:rPr>
        <w:t xml:space="preserve">the leisure centres </w:t>
      </w:r>
      <w:r w:rsidRPr="00520C7C">
        <w:rPr>
          <w:rFonts w:eastAsia="Calibri"/>
        </w:rPr>
        <w:t xml:space="preserve">allowed programme participant voices to be heard: three females and one male from Momenta (focus group 1), three males and three females from Momenta-Fitness (focus group 2) and three females (one of whom emailed her views separately) from Fitness-only. Across the groups, 12 participants reported having lost weight and one reported weight gain. </w:t>
      </w:r>
      <w:r w:rsidRPr="00520C7C">
        <w:t>Three themes developed: (</w:t>
      </w:r>
      <w:proofErr w:type="spellStart"/>
      <w:r w:rsidRPr="00520C7C">
        <w:t>i</w:t>
      </w:r>
      <w:proofErr w:type="spellEnd"/>
      <w:r w:rsidRPr="00520C7C">
        <w:t>) outcomes of the programme, (ii) facilitators and barriers to engagement, and (iii) raising the issues of weight with HCPs.</w:t>
      </w:r>
    </w:p>
    <w:p w14:paraId="782F2F08" w14:textId="77777777" w:rsidR="00ED3346" w:rsidRPr="00520C7C" w:rsidRDefault="00ED3346" w:rsidP="00ED3346">
      <w:pPr>
        <w:pStyle w:val="xmsonormal"/>
        <w:shd w:val="clear" w:color="auto" w:fill="FFFFFF"/>
        <w:spacing w:before="0" w:beforeAutospacing="0" w:after="0" w:afterAutospacing="0" w:line="480" w:lineRule="auto"/>
        <w:textAlignment w:val="baseline"/>
        <w:rPr>
          <w:b/>
          <w:sz w:val="28"/>
          <w:shd w:val="clear" w:color="auto" w:fill="FFFFFF"/>
        </w:rPr>
      </w:pPr>
    </w:p>
    <w:p w14:paraId="452C4DC0"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r w:rsidRPr="00520C7C">
        <w:rPr>
          <w:shd w:val="clear" w:color="auto" w:fill="FFFFFF"/>
        </w:rPr>
        <w:t>Outcomes of the programme:</w:t>
      </w:r>
    </w:p>
    <w:p w14:paraId="4FAFA4BA"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p>
    <w:p w14:paraId="204F5594"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r w:rsidRPr="00520C7C">
        <w:rPr>
          <w:shd w:val="clear" w:color="auto" w:fill="FFFFFF"/>
        </w:rPr>
        <w:t>Focus group findings aligned closely with quantitative outcomes in terms of the physical and psychological benefits of participation: </w:t>
      </w:r>
      <w:r w:rsidRPr="00520C7C">
        <w:rPr>
          <w:i/>
          <w:shd w:val="clear" w:color="auto" w:fill="FFFFFF"/>
        </w:rPr>
        <w:t>‘[</w:t>
      </w:r>
      <w:proofErr w:type="gramStart"/>
      <w:r w:rsidRPr="00520C7C">
        <w:rPr>
          <w:i/>
          <w:shd w:val="clear" w:color="auto" w:fill="FFFFFF"/>
        </w:rPr>
        <w:t>I’ve</w:t>
      </w:r>
      <w:proofErr w:type="gramEnd"/>
      <w:r w:rsidRPr="00520C7C">
        <w:rPr>
          <w:i/>
          <w:shd w:val="clear" w:color="auto" w:fill="FFFFFF"/>
        </w:rPr>
        <w:t xml:space="preserve">] lost a good bit of weight. </w:t>
      </w:r>
      <w:proofErr w:type="gramStart"/>
      <w:r w:rsidRPr="00520C7C">
        <w:rPr>
          <w:i/>
          <w:shd w:val="clear" w:color="auto" w:fill="FFFFFF"/>
        </w:rPr>
        <w:t>It’s</w:t>
      </w:r>
      <w:proofErr w:type="gramEnd"/>
      <w:r w:rsidRPr="00520C7C">
        <w:rPr>
          <w:i/>
          <w:shd w:val="clear" w:color="auto" w:fill="FFFFFF"/>
        </w:rPr>
        <w:t xml:space="preserve"> been very positive for me… I’m feeling a lot more active…’</w:t>
      </w:r>
      <w:r w:rsidRPr="00520C7C">
        <w:rPr>
          <w:shd w:val="clear" w:color="auto" w:fill="FFFFFF"/>
        </w:rPr>
        <w:t xml:space="preserve"> </w:t>
      </w:r>
      <w:r w:rsidRPr="00520C7C">
        <w:rPr>
          <w:rFonts w:ascii="Arial" w:hAnsi="Arial" w:cs="Arial"/>
        </w:rPr>
        <w:t>(</w:t>
      </w:r>
      <w:r w:rsidRPr="00520C7C">
        <w:t>Momenta-Fitness, Participant 5)</w:t>
      </w:r>
      <w:r w:rsidRPr="00520C7C">
        <w:rPr>
          <w:i/>
        </w:rPr>
        <w:t>.</w:t>
      </w:r>
      <w:r w:rsidRPr="00520C7C">
        <w:rPr>
          <w:rFonts w:ascii="Arial" w:hAnsi="Arial" w:cs="Arial"/>
        </w:rPr>
        <w:t xml:space="preserve"> </w:t>
      </w:r>
      <w:r w:rsidRPr="00520C7C">
        <w:rPr>
          <w:shd w:val="clear" w:color="auto" w:fill="FFFFFF"/>
        </w:rPr>
        <w:t xml:space="preserve">Participants reported a sense of weight loss achievement, increased physical activity levels, and positive mood states. In addition, elements of the Momenta programme </w:t>
      </w:r>
      <w:proofErr w:type="gramStart"/>
      <w:r w:rsidRPr="00520C7C">
        <w:rPr>
          <w:shd w:val="clear" w:color="auto" w:fill="FFFFFF"/>
        </w:rPr>
        <w:t>were perceived</w:t>
      </w:r>
      <w:proofErr w:type="gramEnd"/>
      <w:r w:rsidRPr="00520C7C">
        <w:rPr>
          <w:shd w:val="clear" w:color="auto" w:fill="FFFFFF"/>
        </w:rPr>
        <w:t xml:space="preserve"> as facilitating engagement, including the </w:t>
      </w:r>
      <w:r w:rsidRPr="00520C7C">
        <w:rPr>
          <w:i/>
          <w:shd w:val="clear" w:color="auto" w:fill="FFFFFF"/>
        </w:rPr>
        <w:t>‘group feeling… </w:t>
      </w:r>
      <w:r w:rsidRPr="00520C7C">
        <w:rPr>
          <w:i/>
        </w:rPr>
        <w:t>I looked forward to it,</w:t>
      </w:r>
      <w:r w:rsidRPr="00520C7C">
        <w:rPr>
          <w:shd w:val="clear" w:color="auto" w:fill="FFFFFF"/>
        </w:rPr>
        <w:t>’ (Momenta-Fitness, Participant 4),</w:t>
      </w:r>
      <w:r w:rsidRPr="00520C7C">
        <w:rPr>
          <w:i/>
          <w:shd w:val="clear" w:color="auto" w:fill="FFFFFF"/>
        </w:rPr>
        <w:t xml:space="preserve"> </w:t>
      </w:r>
      <w:r w:rsidRPr="00520C7C">
        <w:rPr>
          <w:shd w:val="clear" w:color="auto" w:fill="FFFFFF"/>
        </w:rPr>
        <w:t>the </w:t>
      </w:r>
      <w:r w:rsidRPr="00520C7C">
        <w:rPr>
          <w:i/>
          <w:shd w:val="clear" w:color="auto" w:fill="FFFFFF"/>
        </w:rPr>
        <w:t>‘information that we got every week… so very well planned.’</w:t>
      </w:r>
      <w:r w:rsidRPr="00520C7C">
        <w:rPr>
          <w:shd w:val="clear" w:color="auto" w:fill="FFFFFF"/>
        </w:rPr>
        <w:t xml:space="preserve"> (Momenta-Fitness, Participant 3) and the ongoing support e.g., </w:t>
      </w:r>
      <w:r w:rsidRPr="00520C7C">
        <w:rPr>
          <w:i/>
          <w:shd w:val="clear" w:color="auto" w:fill="FFFFFF"/>
        </w:rPr>
        <w:t>‘she ‘phoned me the other day to see if I was coming,’</w:t>
      </w:r>
      <w:r w:rsidRPr="00520C7C">
        <w:rPr>
          <w:shd w:val="clear" w:color="auto" w:fill="FFFFFF"/>
        </w:rPr>
        <w:t xml:space="preserve"> (Momenta-Fitness, Participant 4). Momenta participants reflected back on, and identified and discussed lifestyle factors that related to their initial weight gain (e.g., </w:t>
      </w:r>
      <w:r w:rsidRPr="00520C7C">
        <w:rPr>
          <w:i/>
          <w:shd w:val="clear" w:color="auto" w:fill="FFFFFF"/>
        </w:rPr>
        <w:t>‘I did the usual thing… I started eating toffees,’</w:t>
      </w:r>
      <w:r w:rsidRPr="00520C7C">
        <w:rPr>
          <w:rFonts w:ascii="Arial" w:hAnsi="Arial" w:cs="Arial"/>
        </w:rPr>
        <w:t xml:space="preserve"> </w:t>
      </w:r>
      <w:r w:rsidRPr="00520C7C">
        <w:t>Momenta-Fitness, Participant 5</w:t>
      </w:r>
      <w:r w:rsidRPr="00520C7C">
        <w:rPr>
          <w:i/>
        </w:rPr>
        <w:t>)</w:t>
      </w:r>
      <w:r w:rsidRPr="00520C7C">
        <w:rPr>
          <w:i/>
          <w:shd w:val="clear" w:color="auto" w:fill="FFFFFF"/>
        </w:rPr>
        <w:t>,</w:t>
      </w:r>
      <w:r w:rsidRPr="00520C7C">
        <w:rPr>
          <w:shd w:val="clear" w:color="auto" w:fill="FFFFFF"/>
        </w:rPr>
        <w:t xml:space="preserve"> demonstrating both self-awareness and an openness to discussing the topic.</w:t>
      </w:r>
    </w:p>
    <w:p w14:paraId="1E92D8B9"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p>
    <w:p w14:paraId="0290EF67"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r w:rsidRPr="00520C7C">
        <w:rPr>
          <w:shd w:val="clear" w:color="auto" w:fill="FFFFFF"/>
        </w:rPr>
        <w:t>Facilitators and barriers to engagement:</w:t>
      </w:r>
    </w:p>
    <w:p w14:paraId="0D3CECC2"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p>
    <w:p w14:paraId="755373A4"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r w:rsidRPr="00520C7C">
        <w:rPr>
          <w:shd w:val="clear" w:color="auto" w:fill="FFFFFF"/>
        </w:rPr>
        <w:t>One participant reported being initially excluded but later allowed to take part, and others raised concerns that the initial BMI threshold for referral (25-29.9 kg/m</w:t>
      </w:r>
      <w:r w:rsidRPr="00520C7C">
        <w:rPr>
          <w:shd w:val="clear" w:color="auto" w:fill="FFFFFF"/>
          <w:vertAlign w:val="superscript"/>
        </w:rPr>
        <w:t>2</w:t>
      </w:r>
      <w:r w:rsidRPr="00520C7C">
        <w:rPr>
          <w:shd w:val="clear" w:color="auto" w:fill="FFFFFF"/>
        </w:rPr>
        <w:t>) was too low,</w:t>
      </w:r>
      <w:r w:rsidRPr="00520C7C">
        <w:t xml:space="preserve"> </w:t>
      </w:r>
      <w:r w:rsidRPr="00520C7C">
        <w:rPr>
          <w:shd w:val="clear" w:color="auto" w:fill="FFFFFF"/>
        </w:rPr>
        <w:t>‘</w:t>
      </w:r>
      <w:r w:rsidRPr="00520C7C">
        <w:rPr>
          <w:i/>
          <w:shd w:val="clear" w:color="auto" w:fill="FFFFFF"/>
        </w:rPr>
        <w:t>was a little bit high, BMI…managed to get it down... [</w:t>
      </w:r>
      <w:proofErr w:type="gramStart"/>
      <w:r w:rsidRPr="00520C7C">
        <w:rPr>
          <w:i/>
          <w:shd w:val="clear" w:color="auto" w:fill="FFFFFF"/>
        </w:rPr>
        <w:t>and then</w:t>
      </w:r>
      <w:proofErr w:type="gramEnd"/>
      <w:r w:rsidRPr="00520C7C">
        <w:rPr>
          <w:i/>
          <w:shd w:val="clear" w:color="auto" w:fill="FFFFFF"/>
        </w:rPr>
        <w:t xml:space="preserve">] the doctor put us forward,’ </w:t>
      </w:r>
      <w:r w:rsidRPr="00520C7C">
        <w:rPr>
          <w:shd w:val="clear" w:color="auto" w:fill="FFFFFF"/>
        </w:rPr>
        <w:t>(Momenta, Participant 2).  Data also indicated the importance of subsidised access, particularly important in the context of a deprived region such as this, e.g., ‘</w:t>
      </w:r>
      <w:r w:rsidRPr="00520C7C">
        <w:rPr>
          <w:i/>
          <w:shd w:val="clear" w:color="auto" w:fill="FFFFFF"/>
        </w:rPr>
        <w:t>I also joined Weight Watchers for short period of time but found the classes too expensive,</w:t>
      </w:r>
      <w:r w:rsidRPr="00520C7C">
        <w:rPr>
          <w:shd w:val="clear" w:color="auto" w:fill="FFFFFF"/>
        </w:rPr>
        <w:t>’</w:t>
      </w:r>
      <w:r w:rsidRPr="00520C7C">
        <w:t xml:space="preserve"> </w:t>
      </w:r>
      <w:r w:rsidRPr="00520C7C">
        <w:rPr>
          <w:shd w:val="clear" w:color="auto" w:fill="FFFFFF"/>
        </w:rPr>
        <w:t>(Fitness-only, Participant 3, emailed response).</w:t>
      </w:r>
      <w:r w:rsidRPr="00520C7C">
        <w:rPr>
          <w:i/>
          <w:shd w:val="clear" w:color="auto" w:fill="FFFFFF"/>
        </w:rPr>
        <w:t xml:space="preserve"> </w:t>
      </w:r>
    </w:p>
    <w:p w14:paraId="1D884F02"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p>
    <w:p w14:paraId="114BD4C6" w14:textId="77777777" w:rsidR="00ED3346" w:rsidRPr="00520C7C" w:rsidRDefault="00ED3346" w:rsidP="00ED3346">
      <w:pPr>
        <w:pStyle w:val="xmsonormal"/>
        <w:shd w:val="clear" w:color="auto" w:fill="FFFFFF"/>
        <w:spacing w:before="0" w:beforeAutospacing="0" w:after="0" w:afterAutospacing="0" w:line="480" w:lineRule="auto"/>
        <w:textAlignment w:val="baseline"/>
      </w:pPr>
      <w:r w:rsidRPr="00520C7C">
        <w:t>Raising the issue of weight with HCPs:</w:t>
      </w:r>
    </w:p>
    <w:p w14:paraId="252E69A0" w14:textId="77777777" w:rsidR="00ED3346" w:rsidRPr="00520C7C" w:rsidRDefault="00ED3346" w:rsidP="00ED3346">
      <w:pPr>
        <w:pStyle w:val="xmsonormal"/>
        <w:shd w:val="clear" w:color="auto" w:fill="FFFFFF"/>
        <w:spacing w:before="0" w:beforeAutospacing="0" w:after="0" w:afterAutospacing="0" w:line="480" w:lineRule="auto"/>
        <w:textAlignment w:val="baseline"/>
      </w:pPr>
    </w:p>
    <w:p w14:paraId="0096F3B9" w14:textId="77777777" w:rsidR="00ED3346" w:rsidRPr="00520C7C" w:rsidRDefault="00ED3346" w:rsidP="00ED3346">
      <w:pPr>
        <w:pStyle w:val="xmsonormal"/>
        <w:shd w:val="clear" w:color="auto" w:fill="FFFFFF"/>
        <w:spacing w:before="0" w:beforeAutospacing="0" w:after="0" w:afterAutospacing="0" w:line="480" w:lineRule="auto"/>
        <w:textAlignment w:val="baseline"/>
        <w:rPr>
          <w:shd w:val="clear" w:color="auto" w:fill="FFFFFF"/>
        </w:rPr>
      </w:pPr>
      <w:r w:rsidRPr="00520C7C">
        <w:rPr>
          <w:shd w:val="clear" w:color="auto" w:fill="FFFFFF"/>
        </w:rPr>
        <w:t>Some data did suggest implementation was problematic, however, this focused exclusively on the referral process. Participants overwhelmingly felt that they had opened the conversation about weight, as opposed to discussions being initiated by HCPs (e.g., ‘</w:t>
      </w:r>
      <w:r w:rsidRPr="00520C7C">
        <w:rPr>
          <w:i/>
          <w:shd w:val="clear" w:color="auto" w:fill="FFFFFF"/>
        </w:rPr>
        <w:t>my glucose levels were quite high but nobody ever said that I was overweight</w:t>
      </w:r>
      <w:r w:rsidRPr="00520C7C">
        <w:t xml:space="preserve">,’ </w:t>
      </w:r>
      <w:r w:rsidRPr="00520C7C">
        <w:rPr>
          <w:shd w:val="clear" w:color="auto" w:fill="FFFFFF"/>
        </w:rPr>
        <w:t>Momenta-Fitness, Participant 4</w:t>
      </w:r>
      <w:r w:rsidRPr="00520C7C">
        <w:rPr>
          <w:i/>
          <w:shd w:val="clear" w:color="auto" w:fill="FFFFFF"/>
        </w:rPr>
        <w:t>).</w:t>
      </w:r>
      <w:r w:rsidRPr="00520C7C">
        <w:rPr>
          <w:shd w:val="clear" w:color="auto" w:fill="FFFFFF"/>
        </w:rPr>
        <w:t xml:space="preserve"> In addition, participants perceived limitations in </w:t>
      </w:r>
      <w:proofErr w:type="spellStart"/>
      <w:r w:rsidRPr="00520C7C">
        <w:rPr>
          <w:shd w:val="clear" w:color="auto" w:fill="FFFFFF"/>
        </w:rPr>
        <w:t>HCPs’</w:t>
      </w:r>
      <w:proofErr w:type="spellEnd"/>
      <w:r w:rsidRPr="00520C7C">
        <w:rPr>
          <w:shd w:val="clear" w:color="auto" w:fill="FFFFFF"/>
        </w:rPr>
        <w:t xml:space="preserve"> knowledge of intervention components (‘</w:t>
      </w:r>
      <w:r w:rsidRPr="00520C7C">
        <w:rPr>
          <w:i/>
          <w:shd w:val="clear" w:color="auto" w:fill="FFFFFF"/>
        </w:rPr>
        <w:t>she [nurse] didn’t know anything about it</w:t>
      </w:r>
      <w:r w:rsidRPr="00520C7C">
        <w:rPr>
          <w:shd w:val="clear" w:color="auto" w:fill="FFFFFF"/>
        </w:rPr>
        <w:t xml:space="preserve">,’ Fitness-only, Participant 1), something with potential to impact on likelihood of referral, and participants’ expectations of programme success. </w:t>
      </w:r>
    </w:p>
    <w:p w14:paraId="604BF6E1" w14:textId="5279022B" w:rsidR="004C4A50" w:rsidRDefault="004C4A50" w:rsidP="00EB555B">
      <w:pPr>
        <w:spacing w:line="480" w:lineRule="auto"/>
        <w:rPr>
          <w:b/>
        </w:rPr>
      </w:pPr>
    </w:p>
    <w:p w14:paraId="07551F9E" w14:textId="58C8184F" w:rsidR="00E7029E" w:rsidRDefault="00E7029E" w:rsidP="00EB555B">
      <w:pPr>
        <w:spacing w:line="480" w:lineRule="auto"/>
        <w:rPr>
          <w:b/>
        </w:rPr>
      </w:pPr>
      <w:r>
        <w:rPr>
          <w:b/>
        </w:rPr>
        <w:t>Preliminary outcome domains</w:t>
      </w:r>
    </w:p>
    <w:p w14:paraId="1E967611" w14:textId="77777777" w:rsidR="00E7029E" w:rsidRPr="00520C7C" w:rsidRDefault="00E7029E" w:rsidP="00EB555B">
      <w:pPr>
        <w:spacing w:line="480" w:lineRule="auto"/>
        <w:rPr>
          <w:b/>
        </w:rPr>
      </w:pPr>
    </w:p>
    <w:p w14:paraId="7D10651B" w14:textId="1A742CCC" w:rsidR="00ED3346" w:rsidRPr="00520C7C" w:rsidRDefault="0073360F" w:rsidP="00EB555B">
      <w:pPr>
        <w:spacing w:line="480" w:lineRule="auto"/>
      </w:pPr>
      <w:r w:rsidRPr="00520C7C">
        <w:t xml:space="preserve">Of </w:t>
      </w:r>
      <w:r w:rsidR="00FD6C44" w:rsidRPr="00520C7C">
        <w:t>all referrals</w:t>
      </w:r>
      <w:r w:rsidRPr="00520C7C">
        <w:t>, 153 (8</w:t>
      </w:r>
      <w:r w:rsidR="00260188" w:rsidRPr="00520C7C">
        <w:t>4</w:t>
      </w:r>
      <w:r w:rsidRPr="00520C7C">
        <w:t xml:space="preserve">%) attended the baseline measurement session and 78 (51% of those who started) attended the 12-week measurement session. Uptake and adherence varied by </w:t>
      </w:r>
      <w:r w:rsidR="008B396A" w:rsidRPr="00520C7C">
        <w:t>programme group</w:t>
      </w:r>
      <w:r w:rsidRPr="00520C7C">
        <w:t xml:space="preserve"> (</w:t>
      </w:r>
      <w:r w:rsidR="00EC77C7" w:rsidRPr="00520C7C">
        <w:t>t</w:t>
      </w:r>
      <w:r w:rsidRPr="00520C7C">
        <w:t>able 2).</w:t>
      </w:r>
      <w:r w:rsidR="004D305A" w:rsidRPr="00520C7C">
        <w:t xml:space="preserve"> </w:t>
      </w:r>
    </w:p>
    <w:p w14:paraId="762CE907" w14:textId="0CA66066" w:rsidR="001B206A" w:rsidRPr="00520C7C" w:rsidRDefault="00AB124F" w:rsidP="00EB555B">
      <w:pPr>
        <w:spacing w:line="480" w:lineRule="auto"/>
        <w:rPr>
          <w:b/>
        </w:rPr>
      </w:pPr>
      <w:r w:rsidRPr="00520C7C">
        <w:rPr>
          <w:b/>
        </w:rPr>
        <w:t>Table 2. Programme u</w:t>
      </w:r>
      <w:r w:rsidR="001B206A" w:rsidRPr="00520C7C">
        <w:rPr>
          <w:b/>
        </w:rPr>
        <w:t>ptake, adherenc</w:t>
      </w:r>
      <w:r w:rsidRPr="00520C7C">
        <w:rPr>
          <w:b/>
        </w:rPr>
        <w:t>e and attendance.</w:t>
      </w:r>
    </w:p>
    <w:p w14:paraId="65CCE3B9" w14:textId="77777777" w:rsidR="004C4A50" w:rsidRPr="00520C7C" w:rsidRDefault="004C4A50" w:rsidP="00EB555B">
      <w:pPr>
        <w:spacing w:line="480" w:lineRule="auto"/>
      </w:pPr>
    </w:p>
    <w:tbl>
      <w:tblPr>
        <w:tblStyle w:val="TableGrid"/>
        <w:tblW w:w="878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425"/>
        <w:gridCol w:w="1701"/>
        <w:gridCol w:w="425"/>
        <w:gridCol w:w="1559"/>
        <w:gridCol w:w="426"/>
        <w:gridCol w:w="1559"/>
      </w:tblGrid>
      <w:tr w:rsidR="00520C7C" w:rsidRPr="00520C7C" w14:paraId="455E9740" w14:textId="77777777" w:rsidTr="00B61456">
        <w:trPr>
          <w:trHeight w:val="284"/>
        </w:trPr>
        <w:tc>
          <w:tcPr>
            <w:tcW w:w="2689" w:type="dxa"/>
            <w:tcBorders>
              <w:top w:val="single" w:sz="4" w:space="0" w:color="auto"/>
              <w:bottom w:val="nil"/>
            </w:tcBorders>
            <w:shd w:val="clear" w:color="auto" w:fill="EEECE1" w:themeFill="background2"/>
            <w:vAlign w:val="center"/>
          </w:tcPr>
          <w:p w14:paraId="74EC3AF7" w14:textId="70FE2E39" w:rsidR="001B206A" w:rsidRPr="00520C7C" w:rsidRDefault="001B206A" w:rsidP="00AC5D15">
            <w:pPr>
              <w:rPr>
                <w:b/>
                <w:sz w:val="20"/>
                <w:szCs w:val="20"/>
              </w:rPr>
            </w:pPr>
            <w:r w:rsidRPr="00F97013">
              <w:rPr>
                <w:b/>
                <w:sz w:val="20"/>
                <w:szCs w:val="20"/>
              </w:rPr>
              <w:t xml:space="preserve">Uptake </w:t>
            </w:r>
            <w:r w:rsidR="00AC5D15" w:rsidRPr="00F97013">
              <w:rPr>
                <w:b/>
                <w:sz w:val="20"/>
                <w:szCs w:val="20"/>
              </w:rPr>
              <w:t xml:space="preserve">(week 1), </w:t>
            </w:r>
            <w:r w:rsidRPr="00F97013">
              <w:rPr>
                <w:b/>
                <w:sz w:val="20"/>
                <w:szCs w:val="20"/>
              </w:rPr>
              <w:t xml:space="preserve"> adherence</w:t>
            </w:r>
            <w:r w:rsidR="00AC5D15" w:rsidRPr="00F97013">
              <w:rPr>
                <w:b/>
                <w:sz w:val="20"/>
                <w:szCs w:val="20"/>
              </w:rPr>
              <w:t xml:space="preserve">  and retention (</w:t>
            </w:r>
            <w:r w:rsidR="00AA0859" w:rsidRPr="00F97013">
              <w:rPr>
                <w:b/>
                <w:sz w:val="20"/>
                <w:szCs w:val="20"/>
              </w:rPr>
              <w:t xml:space="preserve">both </w:t>
            </w:r>
            <w:r w:rsidR="00AC5D15" w:rsidRPr="00F97013">
              <w:rPr>
                <w:b/>
                <w:sz w:val="20"/>
                <w:szCs w:val="20"/>
              </w:rPr>
              <w:t>week 12)</w:t>
            </w:r>
          </w:p>
        </w:tc>
        <w:tc>
          <w:tcPr>
            <w:tcW w:w="2126" w:type="dxa"/>
            <w:gridSpan w:val="2"/>
            <w:tcBorders>
              <w:top w:val="single" w:sz="4" w:space="0" w:color="auto"/>
              <w:bottom w:val="nil"/>
            </w:tcBorders>
            <w:shd w:val="clear" w:color="auto" w:fill="EEECE1" w:themeFill="background2"/>
          </w:tcPr>
          <w:p w14:paraId="259F02C1" w14:textId="50D0F9DE" w:rsidR="001B206A" w:rsidRPr="00520C7C" w:rsidRDefault="001B206A" w:rsidP="00A018D7">
            <w:pPr>
              <w:rPr>
                <w:b/>
                <w:sz w:val="20"/>
                <w:szCs w:val="20"/>
              </w:rPr>
            </w:pPr>
            <w:r w:rsidRPr="00520C7C">
              <w:rPr>
                <w:b/>
                <w:sz w:val="20"/>
                <w:szCs w:val="20"/>
              </w:rPr>
              <w:t>Momenta</w:t>
            </w:r>
            <w:r w:rsidR="00A018D7" w:rsidRPr="00520C7C">
              <w:rPr>
                <w:b/>
                <w:sz w:val="20"/>
                <w:szCs w:val="20"/>
              </w:rPr>
              <w:t>-F</w:t>
            </w:r>
            <w:r w:rsidR="006E1DA5" w:rsidRPr="00520C7C">
              <w:rPr>
                <w:b/>
                <w:sz w:val="20"/>
                <w:szCs w:val="20"/>
              </w:rPr>
              <w:t>itness</w:t>
            </w:r>
          </w:p>
        </w:tc>
        <w:tc>
          <w:tcPr>
            <w:tcW w:w="1984" w:type="dxa"/>
            <w:gridSpan w:val="2"/>
            <w:tcBorders>
              <w:top w:val="single" w:sz="4" w:space="0" w:color="auto"/>
              <w:bottom w:val="nil"/>
            </w:tcBorders>
            <w:shd w:val="clear" w:color="auto" w:fill="EEECE1" w:themeFill="background2"/>
          </w:tcPr>
          <w:p w14:paraId="603964AD" w14:textId="77777777" w:rsidR="001B206A" w:rsidRPr="00520C7C" w:rsidRDefault="001B206A" w:rsidP="00E702C2">
            <w:pPr>
              <w:rPr>
                <w:b/>
                <w:sz w:val="20"/>
                <w:szCs w:val="20"/>
              </w:rPr>
            </w:pPr>
            <w:r w:rsidRPr="00520C7C">
              <w:rPr>
                <w:b/>
                <w:sz w:val="20"/>
                <w:szCs w:val="20"/>
              </w:rPr>
              <w:t>Momenta only</w:t>
            </w:r>
          </w:p>
        </w:tc>
        <w:tc>
          <w:tcPr>
            <w:tcW w:w="1985" w:type="dxa"/>
            <w:gridSpan w:val="2"/>
            <w:tcBorders>
              <w:top w:val="single" w:sz="4" w:space="0" w:color="auto"/>
              <w:bottom w:val="nil"/>
            </w:tcBorders>
            <w:shd w:val="clear" w:color="auto" w:fill="EEECE1" w:themeFill="background2"/>
          </w:tcPr>
          <w:p w14:paraId="14D83464" w14:textId="4146D5BF" w:rsidR="001B206A" w:rsidRPr="00520C7C" w:rsidRDefault="006E1DA5" w:rsidP="00E702C2">
            <w:pPr>
              <w:rPr>
                <w:b/>
                <w:sz w:val="20"/>
                <w:szCs w:val="20"/>
              </w:rPr>
            </w:pPr>
            <w:r w:rsidRPr="00520C7C">
              <w:rPr>
                <w:b/>
                <w:sz w:val="20"/>
                <w:szCs w:val="20"/>
              </w:rPr>
              <w:t xml:space="preserve">Fitness </w:t>
            </w:r>
            <w:r w:rsidR="001B206A" w:rsidRPr="00520C7C">
              <w:rPr>
                <w:b/>
                <w:sz w:val="20"/>
                <w:szCs w:val="20"/>
              </w:rPr>
              <w:t>only</w:t>
            </w:r>
          </w:p>
        </w:tc>
      </w:tr>
      <w:tr w:rsidR="00520C7C" w:rsidRPr="00520C7C" w14:paraId="50DA1869" w14:textId="77777777" w:rsidTr="00B61456">
        <w:trPr>
          <w:trHeight w:val="284"/>
        </w:trPr>
        <w:tc>
          <w:tcPr>
            <w:tcW w:w="2689" w:type="dxa"/>
            <w:tcBorders>
              <w:top w:val="nil"/>
              <w:bottom w:val="nil"/>
            </w:tcBorders>
            <w:shd w:val="clear" w:color="auto" w:fill="auto"/>
            <w:vAlign w:val="center"/>
          </w:tcPr>
          <w:p w14:paraId="58DD518F" w14:textId="42ED1A07" w:rsidR="001B206A" w:rsidRPr="00520C7C" w:rsidRDefault="001B206A" w:rsidP="00EB555B">
            <w:pPr>
              <w:rPr>
                <w:sz w:val="20"/>
                <w:szCs w:val="20"/>
              </w:rPr>
            </w:pPr>
            <w:r w:rsidRPr="00520C7C">
              <w:rPr>
                <w:sz w:val="20"/>
                <w:szCs w:val="20"/>
              </w:rPr>
              <w:t xml:space="preserve">Number </w:t>
            </w:r>
            <w:r w:rsidR="00260188" w:rsidRPr="00520C7C">
              <w:rPr>
                <w:sz w:val="20"/>
                <w:szCs w:val="20"/>
              </w:rPr>
              <w:t>referred</w:t>
            </w:r>
            <w:r w:rsidRPr="00520C7C">
              <w:rPr>
                <w:sz w:val="20"/>
                <w:szCs w:val="20"/>
              </w:rPr>
              <w:t xml:space="preserve"> </w:t>
            </w:r>
          </w:p>
        </w:tc>
        <w:tc>
          <w:tcPr>
            <w:tcW w:w="2126" w:type="dxa"/>
            <w:gridSpan w:val="2"/>
            <w:tcBorders>
              <w:top w:val="nil"/>
              <w:bottom w:val="nil"/>
            </w:tcBorders>
            <w:shd w:val="clear" w:color="auto" w:fill="auto"/>
            <w:vAlign w:val="center"/>
          </w:tcPr>
          <w:p w14:paraId="3D8EB696" w14:textId="77777777" w:rsidR="001B206A" w:rsidRPr="00520C7C" w:rsidRDefault="001B206A" w:rsidP="00E702C2">
            <w:pPr>
              <w:jc w:val="right"/>
              <w:rPr>
                <w:sz w:val="20"/>
                <w:szCs w:val="20"/>
              </w:rPr>
            </w:pPr>
            <w:r w:rsidRPr="00520C7C">
              <w:rPr>
                <w:sz w:val="20"/>
                <w:szCs w:val="20"/>
              </w:rPr>
              <w:t>58</w:t>
            </w:r>
          </w:p>
        </w:tc>
        <w:tc>
          <w:tcPr>
            <w:tcW w:w="1984" w:type="dxa"/>
            <w:gridSpan w:val="2"/>
            <w:tcBorders>
              <w:top w:val="nil"/>
              <w:bottom w:val="nil"/>
            </w:tcBorders>
            <w:shd w:val="clear" w:color="auto" w:fill="auto"/>
            <w:vAlign w:val="center"/>
          </w:tcPr>
          <w:p w14:paraId="26FF77F4" w14:textId="77777777" w:rsidR="001B206A" w:rsidRPr="00520C7C" w:rsidRDefault="001B206A" w:rsidP="00E702C2">
            <w:pPr>
              <w:jc w:val="right"/>
              <w:rPr>
                <w:sz w:val="20"/>
                <w:szCs w:val="20"/>
              </w:rPr>
            </w:pPr>
            <w:r w:rsidRPr="00520C7C">
              <w:rPr>
                <w:sz w:val="20"/>
                <w:szCs w:val="20"/>
              </w:rPr>
              <w:t>59</w:t>
            </w:r>
          </w:p>
        </w:tc>
        <w:tc>
          <w:tcPr>
            <w:tcW w:w="1985" w:type="dxa"/>
            <w:gridSpan w:val="2"/>
            <w:tcBorders>
              <w:top w:val="nil"/>
              <w:bottom w:val="nil"/>
            </w:tcBorders>
            <w:shd w:val="clear" w:color="auto" w:fill="auto"/>
            <w:vAlign w:val="center"/>
          </w:tcPr>
          <w:p w14:paraId="31A98EDA" w14:textId="77777777" w:rsidR="001B206A" w:rsidRPr="00520C7C" w:rsidRDefault="001B206A" w:rsidP="00E702C2">
            <w:pPr>
              <w:jc w:val="right"/>
              <w:rPr>
                <w:sz w:val="20"/>
                <w:szCs w:val="20"/>
              </w:rPr>
            </w:pPr>
            <w:r w:rsidRPr="00520C7C">
              <w:rPr>
                <w:sz w:val="20"/>
                <w:szCs w:val="20"/>
              </w:rPr>
              <w:t>65</w:t>
            </w:r>
          </w:p>
        </w:tc>
      </w:tr>
      <w:tr w:rsidR="00520C7C" w:rsidRPr="00520C7C" w14:paraId="2644729D" w14:textId="77777777" w:rsidTr="00B61456">
        <w:trPr>
          <w:trHeight w:val="284"/>
        </w:trPr>
        <w:tc>
          <w:tcPr>
            <w:tcW w:w="2689" w:type="dxa"/>
            <w:tcBorders>
              <w:top w:val="nil"/>
              <w:bottom w:val="nil"/>
            </w:tcBorders>
            <w:shd w:val="clear" w:color="auto" w:fill="auto"/>
            <w:vAlign w:val="center"/>
          </w:tcPr>
          <w:p w14:paraId="59E75E77" w14:textId="7CEDA679" w:rsidR="001B206A" w:rsidRPr="00520C7C" w:rsidRDefault="001B206A" w:rsidP="00EB555B">
            <w:pPr>
              <w:rPr>
                <w:sz w:val="20"/>
                <w:szCs w:val="20"/>
              </w:rPr>
            </w:pPr>
            <w:r w:rsidRPr="00520C7C">
              <w:rPr>
                <w:sz w:val="20"/>
                <w:szCs w:val="20"/>
              </w:rPr>
              <w:t>Uptake</w:t>
            </w:r>
            <w:r w:rsidR="00827496" w:rsidRPr="00520C7C">
              <w:rPr>
                <w:sz w:val="20"/>
                <w:szCs w:val="20"/>
              </w:rPr>
              <w:t>*</w:t>
            </w:r>
            <w:r w:rsidRPr="00520C7C">
              <w:rPr>
                <w:sz w:val="20"/>
                <w:szCs w:val="20"/>
              </w:rPr>
              <w:t xml:space="preserve"> (n, %) </w:t>
            </w:r>
          </w:p>
        </w:tc>
        <w:tc>
          <w:tcPr>
            <w:tcW w:w="2126" w:type="dxa"/>
            <w:gridSpan w:val="2"/>
            <w:tcBorders>
              <w:top w:val="nil"/>
              <w:bottom w:val="nil"/>
            </w:tcBorders>
            <w:shd w:val="clear" w:color="auto" w:fill="auto"/>
          </w:tcPr>
          <w:p w14:paraId="1C1FF1C5" w14:textId="5A80FF72" w:rsidR="001B206A" w:rsidRPr="00520C7C" w:rsidRDefault="007A49B8" w:rsidP="00E702C2">
            <w:pPr>
              <w:jc w:val="right"/>
              <w:rPr>
                <w:sz w:val="20"/>
                <w:szCs w:val="20"/>
              </w:rPr>
            </w:pPr>
            <w:r w:rsidRPr="00520C7C">
              <w:rPr>
                <w:sz w:val="20"/>
                <w:szCs w:val="20"/>
              </w:rPr>
              <w:t>54</w:t>
            </w:r>
            <w:r w:rsidR="001B206A" w:rsidRPr="00520C7C">
              <w:rPr>
                <w:sz w:val="20"/>
                <w:szCs w:val="20"/>
              </w:rPr>
              <w:t xml:space="preserve"> (93.1%)</w:t>
            </w:r>
          </w:p>
        </w:tc>
        <w:tc>
          <w:tcPr>
            <w:tcW w:w="1984" w:type="dxa"/>
            <w:gridSpan w:val="2"/>
            <w:tcBorders>
              <w:top w:val="nil"/>
              <w:bottom w:val="nil"/>
            </w:tcBorders>
            <w:shd w:val="clear" w:color="auto" w:fill="auto"/>
          </w:tcPr>
          <w:p w14:paraId="108AD3AF" w14:textId="0D067484" w:rsidR="001B206A" w:rsidRPr="00520C7C" w:rsidRDefault="007A49B8" w:rsidP="00E702C2">
            <w:pPr>
              <w:jc w:val="right"/>
              <w:rPr>
                <w:sz w:val="20"/>
                <w:szCs w:val="20"/>
              </w:rPr>
            </w:pPr>
            <w:r w:rsidRPr="00520C7C">
              <w:rPr>
                <w:sz w:val="20"/>
                <w:szCs w:val="20"/>
              </w:rPr>
              <w:t>50</w:t>
            </w:r>
            <w:r w:rsidR="001B206A" w:rsidRPr="00520C7C">
              <w:rPr>
                <w:sz w:val="20"/>
                <w:szCs w:val="20"/>
              </w:rPr>
              <w:t xml:space="preserve"> (84.7%)</w:t>
            </w:r>
          </w:p>
        </w:tc>
        <w:tc>
          <w:tcPr>
            <w:tcW w:w="1985" w:type="dxa"/>
            <w:gridSpan w:val="2"/>
            <w:tcBorders>
              <w:top w:val="nil"/>
              <w:bottom w:val="nil"/>
            </w:tcBorders>
            <w:shd w:val="clear" w:color="auto" w:fill="auto"/>
            <w:vAlign w:val="center"/>
          </w:tcPr>
          <w:p w14:paraId="38E78E22" w14:textId="162A0C04" w:rsidR="001B206A" w:rsidRPr="00520C7C" w:rsidRDefault="007A49B8" w:rsidP="00E702C2">
            <w:pPr>
              <w:jc w:val="right"/>
              <w:rPr>
                <w:sz w:val="20"/>
                <w:szCs w:val="20"/>
              </w:rPr>
            </w:pPr>
            <w:r w:rsidRPr="00520C7C">
              <w:rPr>
                <w:sz w:val="20"/>
                <w:szCs w:val="20"/>
              </w:rPr>
              <w:t xml:space="preserve">49 </w:t>
            </w:r>
            <w:r w:rsidR="001B206A" w:rsidRPr="00520C7C">
              <w:rPr>
                <w:sz w:val="20"/>
                <w:szCs w:val="20"/>
              </w:rPr>
              <w:t>(75.4%)</w:t>
            </w:r>
          </w:p>
        </w:tc>
      </w:tr>
      <w:tr w:rsidR="00520C7C" w:rsidRPr="00520C7C" w14:paraId="2E14C164" w14:textId="77777777" w:rsidTr="00B61456">
        <w:trPr>
          <w:trHeight w:val="284"/>
        </w:trPr>
        <w:tc>
          <w:tcPr>
            <w:tcW w:w="2689" w:type="dxa"/>
            <w:tcBorders>
              <w:top w:val="nil"/>
              <w:bottom w:val="nil"/>
            </w:tcBorders>
            <w:shd w:val="clear" w:color="auto" w:fill="auto"/>
            <w:vAlign w:val="center"/>
          </w:tcPr>
          <w:p w14:paraId="2AEDB6B8" w14:textId="2ADB9BDA" w:rsidR="00403BE3" w:rsidRPr="00520C7C" w:rsidRDefault="009E2A82" w:rsidP="002C2D89">
            <w:pPr>
              <w:rPr>
                <w:sz w:val="20"/>
                <w:szCs w:val="20"/>
              </w:rPr>
            </w:pPr>
            <w:r w:rsidRPr="00520C7C">
              <w:rPr>
                <w:sz w:val="20"/>
                <w:szCs w:val="20"/>
              </w:rPr>
              <w:t xml:space="preserve">Uptake </w:t>
            </w:r>
            <w:r w:rsidR="00403BE3" w:rsidRPr="00520C7C">
              <w:rPr>
                <w:sz w:val="20"/>
                <w:szCs w:val="20"/>
              </w:rPr>
              <w:t>r</w:t>
            </w:r>
            <w:r w:rsidR="002C2D89" w:rsidRPr="00520C7C">
              <w:rPr>
                <w:sz w:val="20"/>
                <w:szCs w:val="20"/>
              </w:rPr>
              <w:t>etention</w:t>
            </w:r>
            <w:r w:rsidR="00827496" w:rsidRPr="00520C7C">
              <w:rPr>
                <w:sz w:val="20"/>
                <w:szCs w:val="20"/>
              </w:rPr>
              <w:t>**</w:t>
            </w:r>
            <w:r w:rsidR="001B206A" w:rsidRPr="00520C7C">
              <w:rPr>
                <w:sz w:val="20"/>
                <w:szCs w:val="20"/>
              </w:rPr>
              <w:t xml:space="preserve"> (n, %)</w:t>
            </w:r>
          </w:p>
        </w:tc>
        <w:tc>
          <w:tcPr>
            <w:tcW w:w="2126" w:type="dxa"/>
            <w:gridSpan w:val="2"/>
            <w:tcBorders>
              <w:top w:val="nil"/>
              <w:bottom w:val="nil"/>
            </w:tcBorders>
            <w:shd w:val="clear" w:color="auto" w:fill="auto"/>
          </w:tcPr>
          <w:p w14:paraId="7C8787D5" w14:textId="76E3EC47" w:rsidR="001B206A" w:rsidRPr="00520C7C" w:rsidRDefault="007A49B8" w:rsidP="00E702C2">
            <w:pPr>
              <w:jc w:val="right"/>
              <w:rPr>
                <w:sz w:val="20"/>
                <w:szCs w:val="20"/>
              </w:rPr>
            </w:pPr>
            <w:r w:rsidRPr="00520C7C">
              <w:rPr>
                <w:sz w:val="20"/>
                <w:szCs w:val="20"/>
              </w:rPr>
              <w:t>35</w:t>
            </w:r>
            <w:r w:rsidR="001B206A" w:rsidRPr="00520C7C">
              <w:rPr>
                <w:sz w:val="20"/>
                <w:szCs w:val="20"/>
              </w:rPr>
              <w:t xml:space="preserve"> (64.8%)</w:t>
            </w:r>
          </w:p>
        </w:tc>
        <w:tc>
          <w:tcPr>
            <w:tcW w:w="1984" w:type="dxa"/>
            <w:gridSpan w:val="2"/>
            <w:tcBorders>
              <w:top w:val="nil"/>
              <w:bottom w:val="nil"/>
            </w:tcBorders>
            <w:shd w:val="clear" w:color="auto" w:fill="auto"/>
          </w:tcPr>
          <w:p w14:paraId="7672F228" w14:textId="52F22459" w:rsidR="001B206A" w:rsidRPr="00520C7C" w:rsidRDefault="007A49B8" w:rsidP="00E702C2">
            <w:pPr>
              <w:jc w:val="right"/>
              <w:rPr>
                <w:sz w:val="20"/>
                <w:szCs w:val="20"/>
              </w:rPr>
            </w:pPr>
            <w:r w:rsidRPr="00520C7C">
              <w:rPr>
                <w:sz w:val="20"/>
                <w:szCs w:val="20"/>
              </w:rPr>
              <w:t>27</w:t>
            </w:r>
            <w:r w:rsidR="001B206A" w:rsidRPr="00520C7C">
              <w:rPr>
                <w:sz w:val="20"/>
                <w:szCs w:val="20"/>
              </w:rPr>
              <w:t xml:space="preserve"> (54.0%)</w:t>
            </w:r>
          </w:p>
        </w:tc>
        <w:tc>
          <w:tcPr>
            <w:tcW w:w="1985" w:type="dxa"/>
            <w:gridSpan w:val="2"/>
            <w:tcBorders>
              <w:top w:val="nil"/>
              <w:bottom w:val="nil"/>
            </w:tcBorders>
            <w:shd w:val="clear" w:color="auto" w:fill="auto"/>
            <w:vAlign w:val="center"/>
          </w:tcPr>
          <w:p w14:paraId="32C0EB6F" w14:textId="4DAB29F4" w:rsidR="001B206A" w:rsidRPr="00520C7C" w:rsidRDefault="007A49B8" w:rsidP="00E702C2">
            <w:pPr>
              <w:jc w:val="right"/>
              <w:rPr>
                <w:sz w:val="20"/>
                <w:szCs w:val="20"/>
              </w:rPr>
            </w:pPr>
            <w:r w:rsidRPr="00520C7C">
              <w:rPr>
                <w:sz w:val="20"/>
                <w:szCs w:val="20"/>
              </w:rPr>
              <w:t>16</w:t>
            </w:r>
            <w:r w:rsidR="001B206A" w:rsidRPr="00520C7C">
              <w:rPr>
                <w:sz w:val="20"/>
                <w:szCs w:val="20"/>
              </w:rPr>
              <w:t xml:space="preserve"> (32.7%)</w:t>
            </w:r>
          </w:p>
        </w:tc>
      </w:tr>
      <w:tr w:rsidR="00520C7C" w:rsidRPr="00520C7C" w14:paraId="1E39EBB4" w14:textId="77777777" w:rsidTr="00B61456">
        <w:tblPrEx>
          <w:tblBorders>
            <w:left w:val="single" w:sz="4" w:space="0" w:color="auto"/>
            <w:right w:val="single" w:sz="4" w:space="0" w:color="auto"/>
            <w:insideH w:val="single" w:sz="4" w:space="0" w:color="auto"/>
            <w:insideV w:val="single" w:sz="4" w:space="0" w:color="auto"/>
          </w:tblBorders>
        </w:tblPrEx>
        <w:trPr>
          <w:trHeight w:val="284"/>
        </w:trPr>
        <w:tc>
          <w:tcPr>
            <w:tcW w:w="2689" w:type="dxa"/>
            <w:tcBorders>
              <w:top w:val="nil"/>
              <w:left w:val="nil"/>
              <w:bottom w:val="nil"/>
              <w:right w:val="nil"/>
            </w:tcBorders>
          </w:tcPr>
          <w:p w14:paraId="74C8D8EC" w14:textId="4A6A7CBD" w:rsidR="00911173" w:rsidRPr="00520C7C" w:rsidRDefault="00911173" w:rsidP="002C2D89">
            <w:pPr>
              <w:rPr>
                <w:sz w:val="20"/>
                <w:szCs w:val="20"/>
              </w:rPr>
            </w:pPr>
            <w:r w:rsidRPr="00520C7C">
              <w:rPr>
                <w:sz w:val="20"/>
                <w:szCs w:val="20"/>
              </w:rPr>
              <w:t>Uptake adherence^ (n</w:t>
            </w:r>
            <w:r w:rsidR="00CB416F" w:rsidRPr="00520C7C">
              <w:rPr>
                <w:sz w:val="20"/>
                <w:szCs w:val="20"/>
              </w:rPr>
              <w:t>,</w:t>
            </w:r>
            <w:r w:rsidRPr="00520C7C">
              <w:rPr>
                <w:sz w:val="20"/>
                <w:szCs w:val="20"/>
              </w:rPr>
              <w:t xml:space="preserve"> %)</w:t>
            </w:r>
          </w:p>
        </w:tc>
        <w:tc>
          <w:tcPr>
            <w:tcW w:w="2126" w:type="dxa"/>
            <w:gridSpan w:val="2"/>
            <w:tcBorders>
              <w:top w:val="nil"/>
              <w:left w:val="nil"/>
              <w:bottom w:val="nil"/>
              <w:right w:val="nil"/>
            </w:tcBorders>
          </w:tcPr>
          <w:p w14:paraId="5836D0EA" w14:textId="3553989E" w:rsidR="00911173" w:rsidRPr="00520C7C" w:rsidRDefault="00911173" w:rsidP="00E702C2">
            <w:pPr>
              <w:jc w:val="right"/>
              <w:rPr>
                <w:sz w:val="20"/>
                <w:szCs w:val="20"/>
              </w:rPr>
            </w:pPr>
            <w:r w:rsidRPr="00520C7C">
              <w:rPr>
                <w:sz w:val="20"/>
                <w:szCs w:val="20"/>
              </w:rPr>
              <w:t>34 (63.0%)</w:t>
            </w:r>
          </w:p>
        </w:tc>
        <w:tc>
          <w:tcPr>
            <w:tcW w:w="1984" w:type="dxa"/>
            <w:gridSpan w:val="2"/>
            <w:tcBorders>
              <w:top w:val="nil"/>
              <w:left w:val="nil"/>
              <w:bottom w:val="nil"/>
              <w:right w:val="nil"/>
            </w:tcBorders>
          </w:tcPr>
          <w:p w14:paraId="49F99286" w14:textId="16EC262E" w:rsidR="00911173" w:rsidRPr="00520C7C" w:rsidRDefault="00911173" w:rsidP="00E702C2">
            <w:pPr>
              <w:jc w:val="right"/>
              <w:rPr>
                <w:sz w:val="20"/>
                <w:szCs w:val="20"/>
              </w:rPr>
            </w:pPr>
            <w:r w:rsidRPr="00520C7C">
              <w:rPr>
                <w:sz w:val="20"/>
                <w:szCs w:val="20"/>
              </w:rPr>
              <w:t>26 (52.0%)</w:t>
            </w:r>
          </w:p>
        </w:tc>
        <w:tc>
          <w:tcPr>
            <w:tcW w:w="1985" w:type="dxa"/>
            <w:gridSpan w:val="2"/>
            <w:tcBorders>
              <w:top w:val="nil"/>
              <w:left w:val="nil"/>
              <w:bottom w:val="nil"/>
              <w:right w:val="nil"/>
            </w:tcBorders>
          </w:tcPr>
          <w:p w14:paraId="0676FFA4" w14:textId="7ACB1344" w:rsidR="00911173" w:rsidRPr="00520C7C" w:rsidRDefault="00974C1F" w:rsidP="00974C1F">
            <w:pPr>
              <w:jc w:val="center"/>
              <w:rPr>
                <w:sz w:val="20"/>
                <w:szCs w:val="20"/>
              </w:rPr>
            </w:pPr>
            <w:r w:rsidRPr="00520C7C">
              <w:rPr>
                <w:sz w:val="20"/>
                <w:szCs w:val="20"/>
              </w:rPr>
              <w:t xml:space="preserve">                   </w:t>
            </w:r>
            <w:r w:rsidR="00B61456" w:rsidRPr="00520C7C">
              <w:rPr>
                <w:sz w:val="20"/>
                <w:szCs w:val="20"/>
              </w:rPr>
              <w:t>8 (50</w:t>
            </w:r>
            <w:r w:rsidRPr="00520C7C">
              <w:rPr>
                <w:sz w:val="20"/>
                <w:szCs w:val="20"/>
              </w:rPr>
              <w:t>.0</w:t>
            </w:r>
            <w:r w:rsidR="00B61456" w:rsidRPr="00520C7C">
              <w:rPr>
                <w:sz w:val="20"/>
                <w:szCs w:val="20"/>
              </w:rPr>
              <w:t>%)</w:t>
            </w:r>
          </w:p>
        </w:tc>
      </w:tr>
      <w:tr w:rsidR="00520C7C" w:rsidRPr="00520C7C" w14:paraId="1D0634F7" w14:textId="77777777" w:rsidTr="00B61456">
        <w:tblPrEx>
          <w:tblBorders>
            <w:left w:val="single" w:sz="4" w:space="0" w:color="auto"/>
            <w:right w:val="single" w:sz="4" w:space="0" w:color="auto"/>
            <w:insideH w:val="single" w:sz="4" w:space="0" w:color="auto"/>
            <w:insideV w:val="single" w:sz="4" w:space="0" w:color="auto"/>
          </w:tblBorders>
        </w:tblPrEx>
        <w:trPr>
          <w:trHeight w:val="284"/>
        </w:trPr>
        <w:tc>
          <w:tcPr>
            <w:tcW w:w="2689" w:type="dxa"/>
            <w:tcBorders>
              <w:top w:val="nil"/>
              <w:left w:val="nil"/>
              <w:bottom w:val="nil"/>
              <w:right w:val="nil"/>
            </w:tcBorders>
            <w:shd w:val="clear" w:color="auto" w:fill="auto"/>
          </w:tcPr>
          <w:p w14:paraId="6D4BD86A" w14:textId="3886A017" w:rsidR="009E2A82" w:rsidRPr="00520C7C" w:rsidRDefault="001B206A" w:rsidP="00403BE3">
            <w:pPr>
              <w:rPr>
                <w:sz w:val="20"/>
                <w:szCs w:val="20"/>
              </w:rPr>
            </w:pPr>
            <w:r w:rsidRPr="00520C7C">
              <w:rPr>
                <w:sz w:val="20"/>
                <w:szCs w:val="20"/>
              </w:rPr>
              <w:t xml:space="preserve">Overall </w:t>
            </w:r>
            <w:r w:rsidR="00403BE3" w:rsidRPr="00520C7C">
              <w:rPr>
                <w:sz w:val="20"/>
                <w:szCs w:val="20"/>
              </w:rPr>
              <w:t>r</w:t>
            </w:r>
            <w:r w:rsidR="002C2D89" w:rsidRPr="00520C7C">
              <w:rPr>
                <w:sz w:val="20"/>
                <w:szCs w:val="20"/>
              </w:rPr>
              <w:t>etention</w:t>
            </w:r>
            <w:r w:rsidR="00827496" w:rsidRPr="00520C7C">
              <w:rPr>
                <w:sz w:val="20"/>
                <w:szCs w:val="20"/>
              </w:rPr>
              <w:t>***</w:t>
            </w:r>
            <w:r w:rsidR="004C482D" w:rsidRPr="00520C7C">
              <w:rPr>
                <w:sz w:val="20"/>
                <w:szCs w:val="20"/>
              </w:rPr>
              <w:t xml:space="preserve"> </w:t>
            </w:r>
            <w:r w:rsidRPr="00520C7C">
              <w:rPr>
                <w:sz w:val="20"/>
                <w:szCs w:val="20"/>
              </w:rPr>
              <w:t>(n, %)</w:t>
            </w:r>
          </w:p>
        </w:tc>
        <w:tc>
          <w:tcPr>
            <w:tcW w:w="2126" w:type="dxa"/>
            <w:gridSpan w:val="2"/>
            <w:tcBorders>
              <w:top w:val="nil"/>
              <w:left w:val="nil"/>
              <w:bottom w:val="nil"/>
              <w:right w:val="nil"/>
            </w:tcBorders>
            <w:shd w:val="clear" w:color="auto" w:fill="auto"/>
          </w:tcPr>
          <w:p w14:paraId="11BA5877" w14:textId="693626AD" w:rsidR="001B206A" w:rsidRPr="00520C7C" w:rsidRDefault="00911173" w:rsidP="00E702C2">
            <w:pPr>
              <w:jc w:val="right"/>
              <w:rPr>
                <w:sz w:val="20"/>
                <w:szCs w:val="20"/>
              </w:rPr>
            </w:pPr>
            <w:r w:rsidRPr="00520C7C">
              <w:rPr>
                <w:sz w:val="20"/>
                <w:szCs w:val="20"/>
              </w:rPr>
              <w:t xml:space="preserve">35 </w:t>
            </w:r>
            <w:r w:rsidR="001B206A" w:rsidRPr="00520C7C">
              <w:rPr>
                <w:sz w:val="20"/>
                <w:szCs w:val="20"/>
              </w:rPr>
              <w:t>(60.3%)</w:t>
            </w:r>
          </w:p>
        </w:tc>
        <w:tc>
          <w:tcPr>
            <w:tcW w:w="1984" w:type="dxa"/>
            <w:gridSpan w:val="2"/>
            <w:tcBorders>
              <w:top w:val="nil"/>
              <w:left w:val="nil"/>
              <w:bottom w:val="nil"/>
              <w:right w:val="nil"/>
            </w:tcBorders>
            <w:shd w:val="clear" w:color="auto" w:fill="auto"/>
          </w:tcPr>
          <w:p w14:paraId="34E08DBF" w14:textId="730051D5" w:rsidR="001B206A" w:rsidRPr="00520C7C" w:rsidRDefault="00B61456" w:rsidP="00E702C2">
            <w:pPr>
              <w:jc w:val="right"/>
              <w:rPr>
                <w:sz w:val="20"/>
                <w:szCs w:val="20"/>
              </w:rPr>
            </w:pPr>
            <w:r w:rsidRPr="00520C7C">
              <w:rPr>
                <w:sz w:val="20"/>
                <w:szCs w:val="20"/>
              </w:rPr>
              <w:t xml:space="preserve">27 </w:t>
            </w:r>
            <w:r w:rsidR="001B206A" w:rsidRPr="00520C7C">
              <w:rPr>
                <w:sz w:val="20"/>
                <w:szCs w:val="20"/>
              </w:rPr>
              <w:t>(45.8%)</w:t>
            </w:r>
          </w:p>
        </w:tc>
        <w:tc>
          <w:tcPr>
            <w:tcW w:w="1985" w:type="dxa"/>
            <w:gridSpan w:val="2"/>
            <w:tcBorders>
              <w:top w:val="nil"/>
              <w:left w:val="nil"/>
              <w:bottom w:val="nil"/>
              <w:right w:val="nil"/>
            </w:tcBorders>
            <w:shd w:val="clear" w:color="auto" w:fill="auto"/>
          </w:tcPr>
          <w:p w14:paraId="25AA9AED" w14:textId="75F5DEEE" w:rsidR="001B206A" w:rsidRPr="00520C7C" w:rsidRDefault="00B61456" w:rsidP="00314704">
            <w:pPr>
              <w:jc w:val="right"/>
              <w:rPr>
                <w:sz w:val="20"/>
                <w:szCs w:val="20"/>
              </w:rPr>
            </w:pPr>
            <w:r w:rsidRPr="00520C7C">
              <w:rPr>
                <w:sz w:val="20"/>
                <w:szCs w:val="20"/>
              </w:rPr>
              <w:t xml:space="preserve">16 </w:t>
            </w:r>
            <w:r w:rsidR="001B206A" w:rsidRPr="00520C7C">
              <w:rPr>
                <w:sz w:val="20"/>
                <w:szCs w:val="20"/>
              </w:rPr>
              <w:t>(24.6%)</w:t>
            </w:r>
          </w:p>
        </w:tc>
      </w:tr>
      <w:tr w:rsidR="00520C7C" w:rsidRPr="00520C7C" w14:paraId="5C96CEFE" w14:textId="77777777" w:rsidTr="00B61456">
        <w:tblPrEx>
          <w:tblBorders>
            <w:left w:val="single" w:sz="4" w:space="0" w:color="auto"/>
            <w:right w:val="single" w:sz="4" w:space="0" w:color="auto"/>
            <w:insideH w:val="single" w:sz="4" w:space="0" w:color="auto"/>
            <w:insideV w:val="single" w:sz="4" w:space="0" w:color="auto"/>
          </w:tblBorders>
        </w:tblPrEx>
        <w:trPr>
          <w:trHeight w:val="284"/>
        </w:trPr>
        <w:tc>
          <w:tcPr>
            <w:tcW w:w="2689" w:type="dxa"/>
            <w:tcBorders>
              <w:top w:val="nil"/>
              <w:left w:val="nil"/>
              <w:bottom w:val="single" w:sz="4" w:space="0" w:color="auto"/>
              <w:right w:val="nil"/>
            </w:tcBorders>
          </w:tcPr>
          <w:p w14:paraId="544ADCE3" w14:textId="344E7A0E" w:rsidR="00911173" w:rsidRPr="00520C7C" w:rsidRDefault="00911173" w:rsidP="00403BE3">
            <w:pPr>
              <w:rPr>
                <w:sz w:val="20"/>
                <w:szCs w:val="20"/>
              </w:rPr>
            </w:pPr>
            <w:r w:rsidRPr="00520C7C">
              <w:rPr>
                <w:sz w:val="20"/>
                <w:szCs w:val="20"/>
              </w:rPr>
              <w:t>Overall adherence^^ (n</w:t>
            </w:r>
            <w:r w:rsidR="00CB416F" w:rsidRPr="00520C7C">
              <w:rPr>
                <w:sz w:val="20"/>
                <w:szCs w:val="20"/>
              </w:rPr>
              <w:t>,</w:t>
            </w:r>
            <w:r w:rsidRPr="00520C7C">
              <w:rPr>
                <w:sz w:val="20"/>
                <w:szCs w:val="20"/>
              </w:rPr>
              <w:t xml:space="preserve"> %)</w:t>
            </w:r>
          </w:p>
        </w:tc>
        <w:tc>
          <w:tcPr>
            <w:tcW w:w="2126" w:type="dxa"/>
            <w:gridSpan w:val="2"/>
            <w:tcBorders>
              <w:top w:val="nil"/>
              <w:left w:val="nil"/>
              <w:bottom w:val="single" w:sz="4" w:space="0" w:color="auto"/>
              <w:right w:val="nil"/>
            </w:tcBorders>
          </w:tcPr>
          <w:p w14:paraId="5708E1E8" w14:textId="010FD059" w:rsidR="00911173" w:rsidRPr="00520C7C" w:rsidRDefault="00911173" w:rsidP="00E702C2">
            <w:pPr>
              <w:jc w:val="right"/>
              <w:rPr>
                <w:sz w:val="20"/>
                <w:szCs w:val="20"/>
              </w:rPr>
            </w:pPr>
            <w:r w:rsidRPr="00520C7C">
              <w:rPr>
                <w:sz w:val="20"/>
                <w:szCs w:val="20"/>
              </w:rPr>
              <w:t>34 (58.6%)</w:t>
            </w:r>
          </w:p>
        </w:tc>
        <w:tc>
          <w:tcPr>
            <w:tcW w:w="1984" w:type="dxa"/>
            <w:gridSpan w:val="2"/>
            <w:tcBorders>
              <w:top w:val="nil"/>
              <w:left w:val="nil"/>
              <w:bottom w:val="single" w:sz="4" w:space="0" w:color="auto"/>
              <w:right w:val="nil"/>
            </w:tcBorders>
          </w:tcPr>
          <w:p w14:paraId="0ACF5B46" w14:textId="631B8CC4" w:rsidR="00911173" w:rsidRPr="00520C7C" w:rsidRDefault="00B61456" w:rsidP="00E702C2">
            <w:pPr>
              <w:jc w:val="right"/>
              <w:rPr>
                <w:sz w:val="20"/>
                <w:szCs w:val="20"/>
              </w:rPr>
            </w:pPr>
            <w:r w:rsidRPr="00520C7C">
              <w:rPr>
                <w:sz w:val="20"/>
                <w:szCs w:val="20"/>
              </w:rPr>
              <w:t>26 (44.1%)</w:t>
            </w:r>
          </w:p>
        </w:tc>
        <w:tc>
          <w:tcPr>
            <w:tcW w:w="1985" w:type="dxa"/>
            <w:gridSpan w:val="2"/>
            <w:tcBorders>
              <w:top w:val="nil"/>
              <w:left w:val="nil"/>
              <w:bottom w:val="single" w:sz="4" w:space="0" w:color="auto"/>
              <w:right w:val="nil"/>
            </w:tcBorders>
          </w:tcPr>
          <w:p w14:paraId="4FED45AD" w14:textId="33D02E91" w:rsidR="00911173" w:rsidRPr="00520C7C" w:rsidRDefault="00B61456" w:rsidP="00233F5F">
            <w:pPr>
              <w:jc w:val="right"/>
              <w:rPr>
                <w:sz w:val="20"/>
                <w:szCs w:val="20"/>
              </w:rPr>
            </w:pPr>
            <w:r w:rsidRPr="00520C7C">
              <w:rPr>
                <w:sz w:val="20"/>
                <w:szCs w:val="20"/>
              </w:rPr>
              <w:t>8 (</w:t>
            </w:r>
            <w:r w:rsidR="00233F5F" w:rsidRPr="00520C7C">
              <w:rPr>
                <w:sz w:val="20"/>
                <w:szCs w:val="20"/>
              </w:rPr>
              <w:t>12.3</w:t>
            </w:r>
            <w:r w:rsidRPr="00520C7C">
              <w:rPr>
                <w:sz w:val="20"/>
                <w:szCs w:val="20"/>
              </w:rPr>
              <w:t>%)</w:t>
            </w:r>
          </w:p>
        </w:tc>
      </w:tr>
      <w:tr w:rsidR="00520C7C" w:rsidRPr="00520C7C" w14:paraId="543A1FDF" w14:textId="77777777" w:rsidTr="00B61456">
        <w:trPr>
          <w:trHeight w:val="284"/>
        </w:trPr>
        <w:tc>
          <w:tcPr>
            <w:tcW w:w="2689" w:type="dxa"/>
            <w:tcBorders>
              <w:top w:val="single" w:sz="4" w:space="0" w:color="auto"/>
            </w:tcBorders>
            <w:shd w:val="clear" w:color="auto" w:fill="EEECE1" w:themeFill="background2"/>
            <w:vAlign w:val="center"/>
          </w:tcPr>
          <w:p w14:paraId="122AAA6B" w14:textId="77777777" w:rsidR="001B206A" w:rsidRPr="00520C7C" w:rsidRDefault="001B206A" w:rsidP="00EB555B">
            <w:pPr>
              <w:rPr>
                <w:sz w:val="20"/>
                <w:szCs w:val="20"/>
              </w:rPr>
            </w:pPr>
            <w:r w:rsidRPr="00520C7C">
              <w:rPr>
                <w:b/>
                <w:sz w:val="20"/>
                <w:szCs w:val="20"/>
              </w:rPr>
              <w:t>Momenta session attendance</w:t>
            </w:r>
          </w:p>
        </w:tc>
        <w:tc>
          <w:tcPr>
            <w:tcW w:w="2126" w:type="dxa"/>
            <w:gridSpan w:val="2"/>
            <w:tcBorders>
              <w:top w:val="single" w:sz="4" w:space="0" w:color="auto"/>
            </w:tcBorders>
            <w:shd w:val="clear" w:color="auto" w:fill="EEECE1" w:themeFill="background2"/>
            <w:vAlign w:val="center"/>
          </w:tcPr>
          <w:p w14:paraId="09D897AD" w14:textId="11611449" w:rsidR="001B206A" w:rsidRPr="00520C7C" w:rsidRDefault="001B206A" w:rsidP="00A018D7">
            <w:pPr>
              <w:rPr>
                <w:b/>
                <w:sz w:val="20"/>
                <w:szCs w:val="20"/>
              </w:rPr>
            </w:pPr>
            <w:r w:rsidRPr="00520C7C">
              <w:rPr>
                <w:b/>
                <w:sz w:val="20"/>
                <w:szCs w:val="20"/>
              </w:rPr>
              <w:t>Momenta</w:t>
            </w:r>
            <w:r w:rsidR="00A018D7" w:rsidRPr="00520C7C">
              <w:rPr>
                <w:b/>
                <w:sz w:val="20"/>
                <w:szCs w:val="20"/>
              </w:rPr>
              <w:t>-F</w:t>
            </w:r>
            <w:r w:rsidR="006E1DA5" w:rsidRPr="00520C7C">
              <w:rPr>
                <w:b/>
                <w:sz w:val="20"/>
                <w:szCs w:val="20"/>
              </w:rPr>
              <w:t>itness</w:t>
            </w:r>
          </w:p>
        </w:tc>
        <w:tc>
          <w:tcPr>
            <w:tcW w:w="1984" w:type="dxa"/>
            <w:gridSpan w:val="2"/>
            <w:tcBorders>
              <w:top w:val="single" w:sz="4" w:space="0" w:color="auto"/>
            </w:tcBorders>
            <w:shd w:val="clear" w:color="auto" w:fill="EEECE1" w:themeFill="background2"/>
            <w:vAlign w:val="center"/>
          </w:tcPr>
          <w:p w14:paraId="553F824A" w14:textId="77777777" w:rsidR="001B206A" w:rsidRPr="00520C7C" w:rsidRDefault="001B206A" w:rsidP="008E049A">
            <w:pPr>
              <w:rPr>
                <w:b/>
                <w:sz w:val="20"/>
                <w:szCs w:val="20"/>
              </w:rPr>
            </w:pPr>
            <w:r w:rsidRPr="00520C7C">
              <w:rPr>
                <w:b/>
                <w:sz w:val="20"/>
                <w:szCs w:val="20"/>
              </w:rPr>
              <w:t>Momenta only</w:t>
            </w:r>
          </w:p>
        </w:tc>
        <w:tc>
          <w:tcPr>
            <w:tcW w:w="1985" w:type="dxa"/>
            <w:gridSpan w:val="2"/>
            <w:tcBorders>
              <w:top w:val="single" w:sz="4" w:space="0" w:color="auto"/>
            </w:tcBorders>
            <w:shd w:val="clear" w:color="auto" w:fill="EEECE1" w:themeFill="background2"/>
            <w:vAlign w:val="center"/>
          </w:tcPr>
          <w:p w14:paraId="007644CD" w14:textId="18402437" w:rsidR="001B206A" w:rsidRPr="00520C7C" w:rsidRDefault="006E1DA5" w:rsidP="008E049A">
            <w:pPr>
              <w:rPr>
                <w:b/>
                <w:sz w:val="20"/>
                <w:szCs w:val="20"/>
              </w:rPr>
            </w:pPr>
            <w:r w:rsidRPr="00520C7C">
              <w:rPr>
                <w:b/>
                <w:sz w:val="20"/>
                <w:szCs w:val="20"/>
              </w:rPr>
              <w:t xml:space="preserve">Fitness </w:t>
            </w:r>
            <w:r w:rsidR="001B206A" w:rsidRPr="00520C7C">
              <w:rPr>
                <w:b/>
                <w:sz w:val="20"/>
                <w:szCs w:val="20"/>
              </w:rPr>
              <w:t>only</w:t>
            </w:r>
          </w:p>
        </w:tc>
      </w:tr>
      <w:tr w:rsidR="00520C7C" w:rsidRPr="00520C7C" w14:paraId="111F191B" w14:textId="77777777" w:rsidTr="00911173">
        <w:trPr>
          <w:trHeight w:val="284"/>
        </w:trPr>
        <w:tc>
          <w:tcPr>
            <w:tcW w:w="2689" w:type="dxa"/>
            <w:shd w:val="clear" w:color="auto" w:fill="EEECE1" w:themeFill="background2"/>
            <w:vAlign w:val="center"/>
          </w:tcPr>
          <w:p w14:paraId="54E59F14" w14:textId="77777777" w:rsidR="001B206A" w:rsidRPr="00520C7C" w:rsidRDefault="001B206A" w:rsidP="00EB555B">
            <w:pPr>
              <w:rPr>
                <w:sz w:val="20"/>
                <w:szCs w:val="20"/>
              </w:rPr>
            </w:pPr>
          </w:p>
        </w:tc>
        <w:tc>
          <w:tcPr>
            <w:tcW w:w="425" w:type="dxa"/>
            <w:shd w:val="clear" w:color="auto" w:fill="EEECE1" w:themeFill="background2"/>
          </w:tcPr>
          <w:p w14:paraId="0814AB3E" w14:textId="77777777" w:rsidR="001B206A" w:rsidRPr="00520C7C" w:rsidRDefault="001B206A" w:rsidP="008E049A">
            <w:pPr>
              <w:rPr>
                <w:b/>
                <w:sz w:val="20"/>
                <w:szCs w:val="20"/>
              </w:rPr>
            </w:pPr>
            <w:r w:rsidRPr="00520C7C">
              <w:rPr>
                <w:b/>
                <w:sz w:val="20"/>
                <w:szCs w:val="20"/>
              </w:rPr>
              <w:t>n</w:t>
            </w:r>
          </w:p>
        </w:tc>
        <w:tc>
          <w:tcPr>
            <w:tcW w:w="1701" w:type="dxa"/>
            <w:shd w:val="clear" w:color="auto" w:fill="EEECE1" w:themeFill="background2"/>
          </w:tcPr>
          <w:p w14:paraId="1BFA2F5C" w14:textId="15466856" w:rsidR="001B206A" w:rsidRPr="00520C7C" w:rsidRDefault="001B206A" w:rsidP="008E049A">
            <w:pPr>
              <w:rPr>
                <w:b/>
                <w:sz w:val="20"/>
                <w:szCs w:val="20"/>
              </w:rPr>
            </w:pPr>
            <w:r w:rsidRPr="00520C7C">
              <w:rPr>
                <w:b/>
                <w:sz w:val="20"/>
                <w:szCs w:val="20"/>
              </w:rPr>
              <w:t>Median (IQR)</w:t>
            </w:r>
          </w:p>
        </w:tc>
        <w:tc>
          <w:tcPr>
            <w:tcW w:w="425" w:type="dxa"/>
            <w:shd w:val="clear" w:color="auto" w:fill="EEECE1" w:themeFill="background2"/>
          </w:tcPr>
          <w:p w14:paraId="67F79AFC" w14:textId="77777777" w:rsidR="001B206A" w:rsidRPr="00520C7C" w:rsidRDefault="001B206A" w:rsidP="008E049A">
            <w:pPr>
              <w:rPr>
                <w:b/>
                <w:sz w:val="20"/>
                <w:szCs w:val="20"/>
              </w:rPr>
            </w:pPr>
            <w:r w:rsidRPr="00520C7C">
              <w:rPr>
                <w:b/>
                <w:sz w:val="20"/>
                <w:szCs w:val="20"/>
              </w:rPr>
              <w:t>n</w:t>
            </w:r>
          </w:p>
        </w:tc>
        <w:tc>
          <w:tcPr>
            <w:tcW w:w="1559" w:type="dxa"/>
            <w:shd w:val="clear" w:color="auto" w:fill="EEECE1" w:themeFill="background2"/>
          </w:tcPr>
          <w:p w14:paraId="2101A917" w14:textId="77777777" w:rsidR="001B206A" w:rsidRPr="00520C7C" w:rsidRDefault="001B206A" w:rsidP="008E049A">
            <w:pPr>
              <w:rPr>
                <w:b/>
                <w:sz w:val="20"/>
                <w:szCs w:val="20"/>
              </w:rPr>
            </w:pPr>
            <w:r w:rsidRPr="00520C7C">
              <w:rPr>
                <w:b/>
                <w:sz w:val="20"/>
                <w:szCs w:val="20"/>
              </w:rPr>
              <w:t>Median (IQR)</w:t>
            </w:r>
          </w:p>
        </w:tc>
        <w:tc>
          <w:tcPr>
            <w:tcW w:w="1985" w:type="dxa"/>
            <w:gridSpan w:val="2"/>
            <w:shd w:val="clear" w:color="auto" w:fill="EEECE1" w:themeFill="background2"/>
          </w:tcPr>
          <w:p w14:paraId="57C08E47" w14:textId="77777777" w:rsidR="001B206A" w:rsidRPr="00520C7C" w:rsidRDefault="001B206A" w:rsidP="00EB555B">
            <w:pPr>
              <w:jc w:val="center"/>
              <w:rPr>
                <w:b/>
                <w:sz w:val="20"/>
                <w:szCs w:val="20"/>
              </w:rPr>
            </w:pPr>
          </w:p>
        </w:tc>
      </w:tr>
      <w:tr w:rsidR="00520C7C" w:rsidRPr="00520C7C" w14:paraId="1397D5C4" w14:textId="77777777" w:rsidTr="00911173">
        <w:trPr>
          <w:trHeight w:val="284"/>
        </w:trPr>
        <w:tc>
          <w:tcPr>
            <w:tcW w:w="2689" w:type="dxa"/>
            <w:shd w:val="clear" w:color="auto" w:fill="auto"/>
            <w:vAlign w:val="center"/>
          </w:tcPr>
          <w:p w14:paraId="7112D614" w14:textId="57288366" w:rsidR="001B206A" w:rsidRPr="00520C7C" w:rsidRDefault="00C35964" w:rsidP="00EB555B">
            <w:pPr>
              <w:rPr>
                <w:sz w:val="20"/>
                <w:szCs w:val="20"/>
              </w:rPr>
            </w:pPr>
            <w:r w:rsidRPr="00520C7C">
              <w:rPr>
                <w:sz w:val="20"/>
                <w:szCs w:val="20"/>
              </w:rPr>
              <w:t>Uptake</w:t>
            </w:r>
          </w:p>
        </w:tc>
        <w:tc>
          <w:tcPr>
            <w:tcW w:w="425" w:type="dxa"/>
            <w:shd w:val="clear" w:color="auto" w:fill="auto"/>
            <w:vAlign w:val="center"/>
          </w:tcPr>
          <w:p w14:paraId="7AABC316" w14:textId="77777777" w:rsidR="001B206A" w:rsidRPr="00520C7C" w:rsidRDefault="001B206A" w:rsidP="00E702C2">
            <w:pPr>
              <w:jc w:val="right"/>
              <w:rPr>
                <w:sz w:val="20"/>
                <w:szCs w:val="20"/>
              </w:rPr>
            </w:pPr>
            <w:r w:rsidRPr="00520C7C">
              <w:rPr>
                <w:sz w:val="20"/>
                <w:szCs w:val="20"/>
              </w:rPr>
              <w:t>54</w:t>
            </w:r>
          </w:p>
        </w:tc>
        <w:tc>
          <w:tcPr>
            <w:tcW w:w="1701" w:type="dxa"/>
            <w:shd w:val="clear" w:color="auto" w:fill="auto"/>
            <w:vAlign w:val="center"/>
          </w:tcPr>
          <w:p w14:paraId="2A680CB8" w14:textId="7CD5F13D" w:rsidR="001B206A" w:rsidRPr="00520C7C" w:rsidRDefault="007A49B8" w:rsidP="00E702C2">
            <w:pPr>
              <w:jc w:val="right"/>
              <w:rPr>
                <w:sz w:val="20"/>
                <w:szCs w:val="20"/>
              </w:rPr>
            </w:pPr>
            <w:r w:rsidRPr="00520C7C">
              <w:rPr>
                <w:sz w:val="20"/>
                <w:szCs w:val="20"/>
              </w:rPr>
              <w:t xml:space="preserve">9.0 </w:t>
            </w:r>
            <w:r w:rsidR="001B206A" w:rsidRPr="00520C7C">
              <w:rPr>
                <w:sz w:val="20"/>
                <w:szCs w:val="20"/>
              </w:rPr>
              <w:t>(7.3)</w:t>
            </w:r>
          </w:p>
        </w:tc>
        <w:tc>
          <w:tcPr>
            <w:tcW w:w="425" w:type="dxa"/>
            <w:shd w:val="clear" w:color="auto" w:fill="auto"/>
            <w:vAlign w:val="center"/>
          </w:tcPr>
          <w:p w14:paraId="74BCADB5" w14:textId="6621DBA3" w:rsidR="001B206A" w:rsidRPr="00520C7C" w:rsidRDefault="00C35964" w:rsidP="00E702C2">
            <w:pPr>
              <w:jc w:val="right"/>
              <w:rPr>
                <w:sz w:val="20"/>
                <w:szCs w:val="20"/>
              </w:rPr>
            </w:pPr>
            <w:r w:rsidRPr="00520C7C">
              <w:rPr>
                <w:sz w:val="20"/>
                <w:szCs w:val="20"/>
              </w:rPr>
              <w:t>50</w:t>
            </w:r>
          </w:p>
        </w:tc>
        <w:tc>
          <w:tcPr>
            <w:tcW w:w="1559" w:type="dxa"/>
            <w:shd w:val="clear" w:color="auto" w:fill="auto"/>
            <w:vAlign w:val="center"/>
          </w:tcPr>
          <w:p w14:paraId="0560E1CF" w14:textId="3A01F6E0" w:rsidR="001B206A" w:rsidRPr="00520C7C" w:rsidRDefault="007A49B8" w:rsidP="00E702C2">
            <w:pPr>
              <w:jc w:val="right"/>
              <w:rPr>
                <w:sz w:val="20"/>
                <w:szCs w:val="20"/>
              </w:rPr>
            </w:pPr>
            <w:r w:rsidRPr="00520C7C">
              <w:rPr>
                <w:sz w:val="20"/>
                <w:szCs w:val="20"/>
              </w:rPr>
              <w:t>9.0</w:t>
            </w:r>
            <w:r w:rsidR="001B206A" w:rsidRPr="00520C7C">
              <w:rPr>
                <w:sz w:val="20"/>
                <w:szCs w:val="20"/>
              </w:rPr>
              <w:t xml:space="preserve"> (8.0)</w:t>
            </w:r>
          </w:p>
        </w:tc>
        <w:tc>
          <w:tcPr>
            <w:tcW w:w="1985" w:type="dxa"/>
            <w:gridSpan w:val="2"/>
            <w:shd w:val="clear" w:color="auto" w:fill="auto"/>
            <w:vAlign w:val="center"/>
          </w:tcPr>
          <w:p w14:paraId="70C368C9" w14:textId="77777777" w:rsidR="001B206A" w:rsidRPr="00520C7C" w:rsidRDefault="001B206A" w:rsidP="00E702C2">
            <w:pPr>
              <w:jc w:val="right"/>
              <w:rPr>
                <w:sz w:val="20"/>
                <w:szCs w:val="20"/>
              </w:rPr>
            </w:pPr>
          </w:p>
        </w:tc>
      </w:tr>
      <w:tr w:rsidR="00520C7C" w:rsidRPr="00520C7C" w14:paraId="39DF156B" w14:textId="77777777" w:rsidTr="00911173">
        <w:trPr>
          <w:trHeight w:val="284"/>
        </w:trPr>
        <w:tc>
          <w:tcPr>
            <w:tcW w:w="2689" w:type="dxa"/>
            <w:shd w:val="clear" w:color="auto" w:fill="auto"/>
            <w:vAlign w:val="center"/>
          </w:tcPr>
          <w:p w14:paraId="42F085A9" w14:textId="77777777" w:rsidR="001B206A" w:rsidRPr="00520C7C" w:rsidRDefault="001B206A" w:rsidP="00EB555B">
            <w:pPr>
              <w:rPr>
                <w:sz w:val="20"/>
                <w:szCs w:val="20"/>
              </w:rPr>
            </w:pPr>
            <w:r w:rsidRPr="00520C7C">
              <w:rPr>
                <w:sz w:val="20"/>
                <w:szCs w:val="20"/>
              </w:rPr>
              <w:t>Dropouts</w:t>
            </w:r>
          </w:p>
        </w:tc>
        <w:tc>
          <w:tcPr>
            <w:tcW w:w="425" w:type="dxa"/>
            <w:shd w:val="clear" w:color="auto" w:fill="auto"/>
            <w:vAlign w:val="center"/>
          </w:tcPr>
          <w:p w14:paraId="20448CD9" w14:textId="77777777" w:rsidR="001B206A" w:rsidRPr="00520C7C" w:rsidRDefault="001B206A" w:rsidP="00E702C2">
            <w:pPr>
              <w:jc w:val="right"/>
              <w:rPr>
                <w:sz w:val="20"/>
                <w:szCs w:val="20"/>
              </w:rPr>
            </w:pPr>
            <w:r w:rsidRPr="00520C7C">
              <w:rPr>
                <w:sz w:val="20"/>
                <w:szCs w:val="20"/>
              </w:rPr>
              <w:t>19</w:t>
            </w:r>
          </w:p>
        </w:tc>
        <w:tc>
          <w:tcPr>
            <w:tcW w:w="1701" w:type="dxa"/>
            <w:shd w:val="clear" w:color="auto" w:fill="auto"/>
            <w:vAlign w:val="center"/>
          </w:tcPr>
          <w:p w14:paraId="00DC1C41" w14:textId="248744D1" w:rsidR="001B206A" w:rsidRPr="00520C7C" w:rsidRDefault="007A49B8" w:rsidP="00E702C2">
            <w:pPr>
              <w:jc w:val="right"/>
              <w:rPr>
                <w:sz w:val="20"/>
                <w:szCs w:val="20"/>
              </w:rPr>
            </w:pPr>
            <w:r w:rsidRPr="00520C7C">
              <w:rPr>
                <w:sz w:val="20"/>
                <w:szCs w:val="20"/>
              </w:rPr>
              <w:t>3.0</w:t>
            </w:r>
            <w:r w:rsidR="001B206A" w:rsidRPr="00520C7C">
              <w:rPr>
                <w:sz w:val="20"/>
                <w:szCs w:val="20"/>
              </w:rPr>
              <w:t xml:space="preserve"> (3.0)</w:t>
            </w:r>
          </w:p>
        </w:tc>
        <w:tc>
          <w:tcPr>
            <w:tcW w:w="425" w:type="dxa"/>
            <w:shd w:val="clear" w:color="auto" w:fill="auto"/>
            <w:vAlign w:val="center"/>
          </w:tcPr>
          <w:p w14:paraId="17349EAA" w14:textId="77777777" w:rsidR="001B206A" w:rsidRPr="00520C7C" w:rsidRDefault="001B206A" w:rsidP="00E702C2">
            <w:pPr>
              <w:jc w:val="right"/>
              <w:rPr>
                <w:sz w:val="20"/>
                <w:szCs w:val="20"/>
              </w:rPr>
            </w:pPr>
            <w:r w:rsidRPr="00520C7C">
              <w:rPr>
                <w:sz w:val="20"/>
                <w:szCs w:val="20"/>
              </w:rPr>
              <w:t>23</w:t>
            </w:r>
          </w:p>
        </w:tc>
        <w:tc>
          <w:tcPr>
            <w:tcW w:w="1559" w:type="dxa"/>
            <w:shd w:val="clear" w:color="auto" w:fill="auto"/>
            <w:vAlign w:val="center"/>
          </w:tcPr>
          <w:p w14:paraId="58B7AA50" w14:textId="77E1B625" w:rsidR="001B206A" w:rsidRPr="00520C7C" w:rsidRDefault="007A49B8" w:rsidP="00E702C2">
            <w:pPr>
              <w:jc w:val="right"/>
              <w:rPr>
                <w:sz w:val="20"/>
                <w:szCs w:val="20"/>
              </w:rPr>
            </w:pPr>
            <w:r w:rsidRPr="00520C7C">
              <w:rPr>
                <w:sz w:val="20"/>
                <w:szCs w:val="20"/>
              </w:rPr>
              <w:t xml:space="preserve">3.0 </w:t>
            </w:r>
            <w:r w:rsidR="001B206A" w:rsidRPr="00520C7C">
              <w:rPr>
                <w:sz w:val="20"/>
                <w:szCs w:val="20"/>
              </w:rPr>
              <w:t>(5.0)</w:t>
            </w:r>
          </w:p>
        </w:tc>
        <w:tc>
          <w:tcPr>
            <w:tcW w:w="1985" w:type="dxa"/>
            <w:gridSpan w:val="2"/>
            <w:shd w:val="clear" w:color="auto" w:fill="auto"/>
            <w:vAlign w:val="center"/>
          </w:tcPr>
          <w:p w14:paraId="190D9A24" w14:textId="77777777" w:rsidR="001B206A" w:rsidRPr="00520C7C" w:rsidRDefault="001B206A" w:rsidP="00E702C2">
            <w:pPr>
              <w:jc w:val="right"/>
              <w:rPr>
                <w:sz w:val="20"/>
                <w:szCs w:val="20"/>
              </w:rPr>
            </w:pPr>
            <w:r w:rsidRPr="00520C7C">
              <w:rPr>
                <w:sz w:val="20"/>
                <w:szCs w:val="20"/>
              </w:rPr>
              <w:t>N/A</w:t>
            </w:r>
          </w:p>
        </w:tc>
      </w:tr>
      <w:tr w:rsidR="00520C7C" w:rsidRPr="00520C7C" w14:paraId="765ECF0D" w14:textId="77777777" w:rsidTr="00911173">
        <w:trPr>
          <w:trHeight w:val="284"/>
        </w:trPr>
        <w:tc>
          <w:tcPr>
            <w:tcW w:w="2689" w:type="dxa"/>
            <w:shd w:val="clear" w:color="auto" w:fill="auto"/>
          </w:tcPr>
          <w:p w14:paraId="3E458882" w14:textId="6EE04678" w:rsidR="001B206A" w:rsidRPr="00520C7C" w:rsidRDefault="0018786B" w:rsidP="00EB555B">
            <w:pPr>
              <w:rPr>
                <w:sz w:val="20"/>
                <w:szCs w:val="20"/>
              </w:rPr>
            </w:pPr>
            <w:r w:rsidRPr="00520C7C">
              <w:rPr>
                <w:sz w:val="20"/>
                <w:szCs w:val="20"/>
              </w:rPr>
              <w:t>Completers^^^</w:t>
            </w:r>
          </w:p>
        </w:tc>
        <w:tc>
          <w:tcPr>
            <w:tcW w:w="425" w:type="dxa"/>
            <w:shd w:val="clear" w:color="auto" w:fill="auto"/>
          </w:tcPr>
          <w:p w14:paraId="0C92A684" w14:textId="77777777" w:rsidR="001B206A" w:rsidRPr="00520C7C" w:rsidRDefault="001B206A" w:rsidP="00E702C2">
            <w:pPr>
              <w:jc w:val="right"/>
              <w:rPr>
                <w:sz w:val="20"/>
                <w:szCs w:val="20"/>
              </w:rPr>
            </w:pPr>
            <w:r w:rsidRPr="00520C7C">
              <w:rPr>
                <w:sz w:val="20"/>
                <w:szCs w:val="20"/>
              </w:rPr>
              <w:t>35</w:t>
            </w:r>
          </w:p>
        </w:tc>
        <w:tc>
          <w:tcPr>
            <w:tcW w:w="1701" w:type="dxa"/>
            <w:shd w:val="clear" w:color="auto" w:fill="auto"/>
          </w:tcPr>
          <w:p w14:paraId="710ACDC6" w14:textId="5D02205A" w:rsidR="001B206A" w:rsidRPr="00520C7C" w:rsidRDefault="007A49B8" w:rsidP="00E702C2">
            <w:pPr>
              <w:jc w:val="right"/>
              <w:rPr>
                <w:sz w:val="20"/>
                <w:szCs w:val="20"/>
              </w:rPr>
            </w:pPr>
            <w:r w:rsidRPr="00520C7C">
              <w:rPr>
                <w:bCs/>
                <w:sz w:val="20"/>
                <w:szCs w:val="20"/>
              </w:rPr>
              <w:t xml:space="preserve">10.0 </w:t>
            </w:r>
            <w:r w:rsidR="001B206A" w:rsidRPr="00520C7C">
              <w:rPr>
                <w:bCs/>
                <w:sz w:val="20"/>
                <w:szCs w:val="20"/>
              </w:rPr>
              <w:t>(2.0)</w:t>
            </w:r>
          </w:p>
        </w:tc>
        <w:tc>
          <w:tcPr>
            <w:tcW w:w="425" w:type="dxa"/>
            <w:shd w:val="clear" w:color="auto" w:fill="auto"/>
          </w:tcPr>
          <w:p w14:paraId="46850B22" w14:textId="77777777" w:rsidR="001B206A" w:rsidRPr="00520C7C" w:rsidRDefault="001B206A" w:rsidP="00E702C2">
            <w:pPr>
              <w:jc w:val="right"/>
              <w:rPr>
                <w:sz w:val="20"/>
                <w:szCs w:val="20"/>
              </w:rPr>
            </w:pPr>
            <w:r w:rsidRPr="00520C7C">
              <w:rPr>
                <w:sz w:val="20"/>
                <w:szCs w:val="20"/>
              </w:rPr>
              <w:t>27</w:t>
            </w:r>
          </w:p>
        </w:tc>
        <w:tc>
          <w:tcPr>
            <w:tcW w:w="1559" w:type="dxa"/>
            <w:shd w:val="clear" w:color="auto" w:fill="auto"/>
          </w:tcPr>
          <w:p w14:paraId="7908E7E5" w14:textId="4D433C4D" w:rsidR="001B206A" w:rsidRPr="00520C7C" w:rsidRDefault="007A49B8" w:rsidP="00E702C2">
            <w:pPr>
              <w:jc w:val="right"/>
              <w:rPr>
                <w:bCs/>
                <w:sz w:val="20"/>
                <w:szCs w:val="20"/>
              </w:rPr>
            </w:pPr>
            <w:r w:rsidRPr="00520C7C">
              <w:rPr>
                <w:bCs/>
                <w:sz w:val="20"/>
                <w:szCs w:val="20"/>
              </w:rPr>
              <w:t>11.0</w:t>
            </w:r>
            <w:r w:rsidR="001B206A" w:rsidRPr="00520C7C">
              <w:rPr>
                <w:bCs/>
                <w:sz w:val="20"/>
                <w:szCs w:val="20"/>
              </w:rPr>
              <w:t xml:space="preserve"> (1.3)</w:t>
            </w:r>
          </w:p>
        </w:tc>
        <w:tc>
          <w:tcPr>
            <w:tcW w:w="1985" w:type="dxa"/>
            <w:gridSpan w:val="2"/>
            <w:shd w:val="clear" w:color="auto" w:fill="auto"/>
          </w:tcPr>
          <w:p w14:paraId="65B54682" w14:textId="77777777" w:rsidR="001B206A" w:rsidRPr="00520C7C" w:rsidRDefault="001B206A" w:rsidP="00E702C2">
            <w:pPr>
              <w:jc w:val="right"/>
              <w:rPr>
                <w:sz w:val="20"/>
                <w:szCs w:val="20"/>
              </w:rPr>
            </w:pPr>
          </w:p>
        </w:tc>
      </w:tr>
      <w:tr w:rsidR="00520C7C" w:rsidRPr="00520C7C" w14:paraId="3767792E" w14:textId="77777777" w:rsidTr="00911173">
        <w:trPr>
          <w:trHeight w:val="284"/>
        </w:trPr>
        <w:tc>
          <w:tcPr>
            <w:tcW w:w="2689" w:type="dxa"/>
            <w:shd w:val="clear" w:color="auto" w:fill="EEECE1" w:themeFill="background2"/>
            <w:vAlign w:val="center"/>
          </w:tcPr>
          <w:p w14:paraId="2E3A2028" w14:textId="77777777" w:rsidR="001B206A" w:rsidRPr="00520C7C" w:rsidRDefault="001B206A" w:rsidP="00EB555B">
            <w:pPr>
              <w:rPr>
                <w:sz w:val="20"/>
                <w:szCs w:val="20"/>
              </w:rPr>
            </w:pPr>
            <w:r w:rsidRPr="00520C7C">
              <w:rPr>
                <w:b/>
                <w:sz w:val="20"/>
                <w:szCs w:val="20"/>
              </w:rPr>
              <w:t>Exercise session attendance</w:t>
            </w:r>
          </w:p>
        </w:tc>
        <w:tc>
          <w:tcPr>
            <w:tcW w:w="2126" w:type="dxa"/>
            <w:gridSpan w:val="2"/>
            <w:shd w:val="clear" w:color="auto" w:fill="EEECE1" w:themeFill="background2"/>
            <w:vAlign w:val="center"/>
          </w:tcPr>
          <w:p w14:paraId="06F070E2" w14:textId="256B9D93" w:rsidR="001B206A" w:rsidRPr="00520C7C" w:rsidRDefault="00A018D7" w:rsidP="00A018D7">
            <w:pPr>
              <w:rPr>
                <w:b/>
                <w:sz w:val="20"/>
                <w:szCs w:val="20"/>
              </w:rPr>
            </w:pPr>
            <w:r w:rsidRPr="00520C7C">
              <w:rPr>
                <w:b/>
                <w:sz w:val="20"/>
                <w:szCs w:val="20"/>
              </w:rPr>
              <w:t>Momenta-F</w:t>
            </w:r>
            <w:r w:rsidR="006E1DA5" w:rsidRPr="00520C7C">
              <w:rPr>
                <w:b/>
                <w:sz w:val="20"/>
                <w:szCs w:val="20"/>
              </w:rPr>
              <w:t>itness</w:t>
            </w:r>
          </w:p>
        </w:tc>
        <w:tc>
          <w:tcPr>
            <w:tcW w:w="1984" w:type="dxa"/>
            <w:gridSpan w:val="2"/>
            <w:shd w:val="clear" w:color="auto" w:fill="EEECE1" w:themeFill="background2"/>
            <w:vAlign w:val="center"/>
          </w:tcPr>
          <w:p w14:paraId="5127331E" w14:textId="77777777" w:rsidR="001B206A" w:rsidRPr="00520C7C" w:rsidRDefault="001B206A" w:rsidP="008E049A">
            <w:pPr>
              <w:rPr>
                <w:b/>
                <w:sz w:val="20"/>
                <w:szCs w:val="20"/>
              </w:rPr>
            </w:pPr>
            <w:r w:rsidRPr="00520C7C">
              <w:rPr>
                <w:b/>
                <w:sz w:val="20"/>
                <w:szCs w:val="20"/>
              </w:rPr>
              <w:t>Momenta only</w:t>
            </w:r>
          </w:p>
        </w:tc>
        <w:tc>
          <w:tcPr>
            <w:tcW w:w="1985" w:type="dxa"/>
            <w:gridSpan w:val="2"/>
            <w:shd w:val="clear" w:color="auto" w:fill="EEECE1" w:themeFill="background2"/>
            <w:vAlign w:val="center"/>
          </w:tcPr>
          <w:p w14:paraId="67E0D565" w14:textId="0BC34A7B" w:rsidR="001B206A" w:rsidRPr="00520C7C" w:rsidRDefault="006E1DA5" w:rsidP="008E049A">
            <w:pPr>
              <w:rPr>
                <w:b/>
                <w:sz w:val="20"/>
                <w:szCs w:val="20"/>
              </w:rPr>
            </w:pPr>
            <w:r w:rsidRPr="00520C7C">
              <w:rPr>
                <w:b/>
                <w:sz w:val="20"/>
                <w:szCs w:val="20"/>
              </w:rPr>
              <w:t xml:space="preserve">Fitness </w:t>
            </w:r>
            <w:r w:rsidR="001B206A" w:rsidRPr="00520C7C">
              <w:rPr>
                <w:b/>
                <w:sz w:val="20"/>
                <w:szCs w:val="20"/>
              </w:rPr>
              <w:t>only</w:t>
            </w:r>
          </w:p>
        </w:tc>
      </w:tr>
      <w:tr w:rsidR="00520C7C" w:rsidRPr="00520C7C" w14:paraId="1726926F" w14:textId="77777777" w:rsidTr="00911173">
        <w:trPr>
          <w:trHeight w:val="284"/>
        </w:trPr>
        <w:tc>
          <w:tcPr>
            <w:tcW w:w="2689" w:type="dxa"/>
            <w:shd w:val="clear" w:color="auto" w:fill="EEECE1" w:themeFill="background2"/>
            <w:vAlign w:val="center"/>
          </w:tcPr>
          <w:p w14:paraId="17A0AC5C" w14:textId="77777777" w:rsidR="001B206A" w:rsidRPr="00520C7C" w:rsidRDefault="001B206A" w:rsidP="00EB555B">
            <w:pPr>
              <w:rPr>
                <w:sz w:val="20"/>
                <w:szCs w:val="20"/>
              </w:rPr>
            </w:pPr>
          </w:p>
        </w:tc>
        <w:tc>
          <w:tcPr>
            <w:tcW w:w="425" w:type="dxa"/>
            <w:shd w:val="clear" w:color="auto" w:fill="EEECE1" w:themeFill="background2"/>
          </w:tcPr>
          <w:p w14:paraId="0A010650" w14:textId="77777777" w:rsidR="001B206A" w:rsidRPr="00520C7C" w:rsidRDefault="001B206A" w:rsidP="008E049A">
            <w:pPr>
              <w:rPr>
                <w:b/>
                <w:sz w:val="20"/>
                <w:szCs w:val="20"/>
              </w:rPr>
            </w:pPr>
            <w:r w:rsidRPr="00520C7C">
              <w:rPr>
                <w:b/>
                <w:sz w:val="20"/>
                <w:szCs w:val="20"/>
              </w:rPr>
              <w:t>n</w:t>
            </w:r>
          </w:p>
        </w:tc>
        <w:tc>
          <w:tcPr>
            <w:tcW w:w="1701" w:type="dxa"/>
            <w:shd w:val="clear" w:color="auto" w:fill="EEECE1" w:themeFill="background2"/>
          </w:tcPr>
          <w:p w14:paraId="645BEA13" w14:textId="53C02D08" w:rsidR="001B206A" w:rsidRPr="00520C7C" w:rsidRDefault="001B206A" w:rsidP="008E049A">
            <w:pPr>
              <w:rPr>
                <w:b/>
                <w:sz w:val="20"/>
                <w:szCs w:val="20"/>
              </w:rPr>
            </w:pPr>
            <w:r w:rsidRPr="00520C7C">
              <w:rPr>
                <w:b/>
                <w:sz w:val="20"/>
                <w:szCs w:val="20"/>
              </w:rPr>
              <w:t>Median (IQR)</w:t>
            </w:r>
          </w:p>
        </w:tc>
        <w:tc>
          <w:tcPr>
            <w:tcW w:w="425" w:type="dxa"/>
            <w:shd w:val="clear" w:color="auto" w:fill="EEECE1" w:themeFill="background2"/>
          </w:tcPr>
          <w:p w14:paraId="352FD1E4" w14:textId="77777777" w:rsidR="001B206A" w:rsidRPr="00520C7C" w:rsidRDefault="001B206A" w:rsidP="008E049A">
            <w:pPr>
              <w:rPr>
                <w:b/>
                <w:sz w:val="20"/>
                <w:szCs w:val="20"/>
              </w:rPr>
            </w:pPr>
            <w:r w:rsidRPr="00520C7C">
              <w:rPr>
                <w:b/>
                <w:sz w:val="20"/>
                <w:szCs w:val="20"/>
              </w:rPr>
              <w:t>n</w:t>
            </w:r>
          </w:p>
        </w:tc>
        <w:tc>
          <w:tcPr>
            <w:tcW w:w="1559" w:type="dxa"/>
            <w:shd w:val="clear" w:color="auto" w:fill="EEECE1" w:themeFill="background2"/>
          </w:tcPr>
          <w:p w14:paraId="0693DC64" w14:textId="0E8C75A2" w:rsidR="001B206A" w:rsidRPr="00520C7C" w:rsidRDefault="001B206A" w:rsidP="008E049A">
            <w:pPr>
              <w:rPr>
                <w:b/>
                <w:sz w:val="20"/>
                <w:szCs w:val="20"/>
              </w:rPr>
            </w:pPr>
            <w:r w:rsidRPr="00520C7C">
              <w:rPr>
                <w:b/>
                <w:sz w:val="20"/>
                <w:szCs w:val="20"/>
              </w:rPr>
              <w:t>Median (IQR)</w:t>
            </w:r>
          </w:p>
        </w:tc>
        <w:tc>
          <w:tcPr>
            <w:tcW w:w="426" w:type="dxa"/>
            <w:shd w:val="clear" w:color="auto" w:fill="EEECE1" w:themeFill="background2"/>
          </w:tcPr>
          <w:p w14:paraId="717AA385" w14:textId="77777777" w:rsidR="001B206A" w:rsidRPr="00520C7C" w:rsidRDefault="001B206A" w:rsidP="008E049A">
            <w:pPr>
              <w:rPr>
                <w:b/>
                <w:sz w:val="20"/>
                <w:szCs w:val="20"/>
              </w:rPr>
            </w:pPr>
            <w:r w:rsidRPr="00520C7C">
              <w:rPr>
                <w:b/>
                <w:sz w:val="20"/>
                <w:szCs w:val="20"/>
              </w:rPr>
              <w:t>n</w:t>
            </w:r>
          </w:p>
        </w:tc>
        <w:tc>
          <w:tcPr>
            <w:tcW w:w="1559" w:type="dxa"/>
            <w:shd w:val="clear" w:color="auto" w:fill="EEECE1" w:themeFill="background2"/>
          </w:tcPr>
          <w:p w14:paraId="08E01231" w14:textId="77777777" w:rsidR="001B206A" w:rsidRPr="00520C7C" w:rsidRDefault="001B206A" w:rsidP="008E049A">
            <w:pPr>
              <w:rPr>
                <w:b/>
                <w:sz w:val="20"/>
                <w:szCs w:val="20"/>
              </w:rPr>
            </w:pPr>
            <w:r w:rsidRPr="00520C7C">
              <w:rPr>
                <w:b/>
                <w:sz w:val="20"/>
                <w:szCs w:val="20"/>
              </w:rPr>
              <w:t>Median (IQR)</w:t>
            </w:r>
          </w:p>
        </w:tc>
      </w:tr>
      <w:tr w:rsidR="00520C7C" w:rsidRPr="00520C7C" w14:paraId="6C2771C2" w14:textId="77777777" w:rsidTr="00911173">
        <w:trPr>
          <w:trHeight w:val="284"/>
        </w:trPr>
        <w:tc>
          <w:tcPr>
            <w:tcW w:w="2689" w:type="dxa"/>
            <w:shd w:val="clear" w:color="auto" w:fill="auto"/>
            <w:vAlign w:val="center"/>
          </w:tcPr>
          <w:p w14:paraId="3DCC5B61" w14:textId="5CFC5E53" w:rsidR="001B206A" w:rsidRPr="00520C7C" w:rsidRDefault="00C35964" w:rsidP="00EB555B">
            <w:pPr>
              <w:rPr>
                <w:sz w:val="20"/>
                <w:szCs w:val="20"/>
              </w:rPr>
            </w:pPr>
            <w:r w:rsidRPr="00520C7C">
              <w:rPr>
                <w:sz w:val="20"/>
                <w:szCs w:val="20"/>
              </w:rPr>
              <w:t>Uptake</w:t>
            </w:r>
          </w:p>
        </w:tc>
        <w:tc>
          <w:tcPr>
            <w:tcW w:w="425" w:type="dxa"/>
            <w:shd w:val="clear" w:color="auto" w:fill="auto"/>
            <w:vAlign w:val="center"/>
          </w:tcPr>
          <w:p w14:paraId="63DA74C6" w14:textId="77777777" w:rsidR="001B206A" w:rsidRPr="00520C7C" w:rsidRDefault="001B206A" w:rsidP="00E702C2">
            <w:pPr>
              <w:jc w:val="right"/>
              <w:rPr>
                <w:sz w:val="20"/>
                <w:szCs w:val="20"/>
              </w:rPr>
            </w:pPr>
            <w:r w:rsidRPr="00520C7C">
              <w:rPr>
                <w:sz w:val="20"/>
                <w:szCs w:val="20"/>
              </w:rPr>
              <w:t>54</w:t>
            </w:r>
          </w:p>
        </w:tc>
        <w:tc>
          <w:tcPr>
            <w:tcW w:w="1701" w:type="dxa"/>
            <w:shd w:val="clear" w:color="auto" w:fill="auto"/>
            <w:vAlign w:val="center"/>
          </w:tcPr>
          <w:p w14:paraId="4EBEB648" w14:textId="7046AB60" w:rsidR="001B206A" w:rsidRPr="00520C7C" w:rsidRDefault="007A49B8" w:rsidP="00E702C2">
            <w:pPr>
              <w:jc w:val="right"/>
              <w:rPr>
                <w:sz w:val="20"/>
                <w:szCs w:val="20"/>
              </w:rPr>
            </w:pPr>
            <w:r w:rsidRPr="00520C7C">
              <w:rPr>
                <w:sz w:val="20"/>
                <w:szCs w:val="20"/>
              </w:rPr>
              <w:t xml:space="preserve">7.0 </w:t>
            </w:r>
            <w:r w:rsidR="001B206A" w:rsidRPr="00520C7C">
              <w:rPr>
                <w:sz w:val="20"/>
                <w:szCs w:val="20"/>
              </w:rPr>
              <w:t>(16.3)</w:t>
            </w:r>
          </w:p>
        </w:tc>
        <w:tc>
          <w:tcPr>
            <w:tcW w:w="425" w:type="dxa"/>
            <w:shd w:val="clear" w:color="auto" w:fill="auto"/>
            <w:vAlign w:val="center"/>
          </w:tcPr>
          <w:p w14:paraId="0563C6A5" w14:textId="09D7492E" w:rsidR="001B206A" w:rsidRPr="00520C7C" w:rsidRDefault="00C35964" w:rsidP="00E702C2">
            <w:pPr>
              <w:jc w:val="right"/>
              <w:rPr>
                <w:sz w:val="20"/>
                <w:szCs w:val="20"/>
              </w:rPr>
            </w:pPr>
            <w:r w:rsidRPr="00520C7C">
              <w:rPr>
                <w:sz w:val="20"/>
                <w:szCs w:val="20"/>
              </w:rPr>
              <w:t>50</w:t>
            </w:r>
          </w:p>
        </w:tc>
        <w:tc>
          <w:tcPr>
            <w:tcW w:w="1559" w:type="dxa"/>
            <w:shd w:val="clear" w:color="auto" w:fill="auto"/>
            <w:vAlign w:val="center"/>
          </w:tcPr>
          <w:p w14:paraId="5FC85D4A" w14:textId="018AF089" w:rsidR="001B206A" w:rsidRPr="00520C7C" w:rsidRDefault="00F40EF2" w:rsidP="00E702C2">
            <w:pPr>
              <w:jc w:val="right"/>
              <w:rPr>
                <w:sz w:val="20"/>
                <w:szCs w:val="20"/>
              </w:rPr>
            </w:pPr>
            <w:r w:rsidRPr="00520C7C">
              <w:rPr>
                <w:sz w:val="20"/>
                <w:szCs w:val="20"/>
              </w:rPr>
              <w:t xml:space="preserve">0.0 </w:t>
            </w:r>
            <w:r w:rsidR="001B206A" w:rsidRPr="00520C7C">
              <w:rPr>
                <w:sz w:val="20"/>
                <w:szCs w:val="20"/>
              </w:rPr>
              <w:t>(4.5)</w:t>
            </w:r>
          </w:p>
        </w:tc>
        <w:tc>
          <w:tcPr>
            <w:tcW w:w="426" w:type="dxa"/>
            <w:shd w:val="clear" w:color="auto" w:fill="auto"/>
            <w:vAlign w:val="center"/>
          </w:tcPr>
          <w:p w14:paraId="24AFC650" w14:textId="77777777" w:rsidR="001B206A" w:rsidRPr="00520C7C" w:rsidRDefault="001B206A" w:rsidP="00E702C2">
            <w:pPr>
              <w:jc w:val="right"/>
              <w:rPr>
                <w:sz w:val="20"/>
                <w:szCs w:val="20"/>
              </w:rPr>
            </w:pPr>
            <w:r w:rsidRPr="00520C7C">
              <w:rPr>
                <w:sz w:val="20"/>
                <w:szCs w:val="20"/>
              </w:rPr>
              <w:t>49</w:t>
            </w:r>
          </w:p>
        </w:tc>
        <w:tc>
          <w:tcPr>
            <w:tcW w:w="1559" w:type="dxa"/>
            <w:shd w:val="clear" w:color="auto" w:fill="auto"/>
            <w:vAlign w:val="center"/>
          </w:tcPr>
          <w:p w14:paraId="0657AA28" w14:textId="0346908D" w:rsidR="001B206A" w:rsidRPr="00520C7C" w:rsidRDefault="00F40EF2" w:rsidP="00E702C2">
            <w:pPr>
              <w:jc w:val="right"/>
              <w:rPr>
                <w:sz w:val="20"/>
                <w:szCs w:val="20"/>
              </w:rPr>
            </w:pPr>
            <w:r w:rsidRPr="00520C7C">
              <w:rPr>
                <w:sz w:val="20"/>
                <w:szCs w:val="20"/>
              </w:rPr>
              <w:t>0.0</w:t>
            </w:r>
            <w:r w:rsidR="007A49B8" w:rsidRPr="00520C7C">
              <w:rPr>
                <w:sz w:val="20"/>
                <w:szCs w:val="20"/>
              </w:rPr>
              <w:t xml:space="preserve"> (1.5)</w:t>
            </w:r>
          </w:p>
        </w:tc>
      </w:tr>
      <w:tr w:rsidR="00520C7C" w:rsidRPr="00520C7C" w14:paraId="748B7BBF" w14:textId="77777777" w:rsidTr="00911173">
        <w:trPr>
          <w:trHeight w:val="284"/>
        </w:trPr>
        <w:tc>
          <w:tcPr>
            <w:tcW w:w="2689" w:type="dxa"/>
            <w:shd w:val="clear" w:color="auto" w:fill="auto"/>
            <w:vAlign w:val="center"/>
          </w:tcPr>
          <w:p w14:paraId="40440647" w14:textId="77777777" w:rsidR="001B206A" w:rsidRPr="00520C7C" w:rsidRDefault="001B206A" w:rsidP="00EB555B">
            <w:pPr>
              <w:rPr>
                <w:sz w:val="20"/>
                <w:szCs w:val="20"/>
              </w:rPr>
            </w:pPr>
            <w:r w:rsidRPr="00520C7C">
              <w:rPr>
                <w:sz w:val="20"/>
                <w:szCs w:val="20"/>
              </w:rPr>
              <w:t>Dropouts</w:t>
            </w:r>
          </w:p>
        </w:tc>
        <w:tc>
          <w:tcPr>
            <w:tcW w:w="425" w:type="dxa"/>
            <w:shd w:val="clear" w:color="auto" w:fill="auto"/>
            <w:vAlign w:val="center"/>
          </w:tcPr>
          <w:p w14:paraId="0CB1B3BA" w14:textId="77777777" w:rsidR="001B206A" w:rsidRPr="00520C7C" w:rsidRDefault="001B206A" w:rsidP="00E702C2">
            <w:pPr>
              <w:jc w:val="right"/>
              <w:rPr>
                <w:sz w:val="20"/>
                <w:szCs w:val="20"/>
              </w:rPr>
            </w:pPr>
            <w:r w:rsidRPr="00520C7C">
              <w:rPr>
                <w:sz w:val="20"/>
                <w:szCs w:val="20"/>
              </w:rPr>
              <w:t>19</w:t>
            </w:r>
          </w:p>
        </w:tc>
        <w:tc>
          <w:tcPr>
            <w:tcW w:w="1701" w:type="dxa"/>
            <w:shd w:val="clear" w:color="auto" w:fill="auto"/>
            <w:vAlign w:val="center"/>
          </w:tcPr>
          <w:p w14:paraId="1848A98F" w14:textId="28004593" w:rsidR="001B206A" w:rsidRPr="00520C7C" w:rsidRDefault="00974C1F" w:rsidP="00974C1F">
            <w:pPr>
              <w:jc w:val="center"/>
              <w:rPr>
                <w:sz w:val="20"/>
                <w:szCs w:val="20"/>
              </w:rPr>
            </w:pPr>
            <w:r w:rsidRPr="00520C7C">
              <w:rPr>
                <w:sz w:val="20"/>
                <w:szCs w:val="20"/>
              </w:rPr>
              <w:t xml:space="preserve">            </w:t>
            </w:r>
            <w:r w:rsidR="007A49B8" w:rsidRPr="00520C7C">
              <w:rPr>
                <w:sz w:val="20"/>
                <w:szCs w:val="20"/>
              </w:rPr>
              <w:t>0.0</w:t>
            </w:r>
            <w:r w:rsidR="00F40EF2" w:rsidRPr="00520C7C">
              <w:rPr>
                <w:sz w:val="20"/>
                <w:szCs w:val="20"/>
              </w:rPr>
              <w:t xml:space="preserve"> (</w:t>
            </w:r>
            <w:r w:rsidR="001B206A" w:rsidRPr="00520C7C">
              <w:rPr>
                <w:sz w:val="20"/>
                <w:szCs w:val="20"/>
              </w:rPr>
              <w:t>1.0)</w:t>
            </w:r>
          </w:p>
        </w:tc>
        <w:tc>
          <w:tcPr>
            <w:tcW w:w="425" w:type="dxa"/>
            <w:shd w:val="clear" w:color="auto" w:fill="auto"/>
            <w:vAlign w:val="center"/>
          </w:tcPr>
          <w:p w14:paraId="369D9543" w14:textId="77777777" w:rsidR="001B206A" w:rsidRPr="00520C7C" w:rsidRDefault="001B206A" w:rsidP="00E702C2">
            <w:pPr>
              <w:jc w:val="right"/>
              <w:rPr>
                <w:sz w:val="20"/>
                <w:szCs w:val="20"/>
              </w:rPr>
            </w:pPr>
            <w:r w:rsidRPr="00520C7C">
              <w:rPr>
                <w:sz w:val="20"/>
                <w:szCs w:val="20"/>
              </w:rPr>
              <w:t>23</w:t>
            </w:r>
          </w:p>
        </w:tc>
        <w:tc>
          <w:tcPr>
            <w:tcW w:w="1559" w:type="dxa"/>
            <w:shd w:val="clear" w:color="auto" w:fill="auto"/>
            <w:vAlign w:val="center"/>
          </w:tcPr>
          <w:p w14:paraId="5673FBA9" w14:textId="1E798AC9" w:rsidR="001B206A" w:rsidRPr="00520C7C" w:rsidRDefault="007A49B8" w:rsidP="00E702C2">
            <w:pPr>
              <w:jc w:val="right"/>
              <w:rPr>
                <w:sz w:val="20"/>
                <w:szCs w:val="20"/>
              </w:rPr>
            </w:pPr>
            <w:r w:rsidRPr="00520C7C">
              <w:rPr>
                <w:sz w:val="20"/>
                <w:szCs w:val="20"/>
              </w:rPr>
              <w:t xml:space="preserve">0.0 </w:t>
            </w:r>
            <w:r w:rsidR="001B206A" w:rsidRPr="00520C7C">
              <w:rPr>
                <w:sz w:val="20"/>
                <w:szCs w:val="20"/>
              </w:rPr>
              <w:t>(0.0)</w:t>
            </w:r>
          </w:p>
        </w:tc>
        <w:tc>
          <w:tcPr>
            <w:tcW w:w="426" w:type="dxa"/>
            <w:shd w:val="clear" w:color="auto" w:fill="auto"/>
            <w:vAlign w:val="center"/>
          </w:tcPr>
          <w:p w14:paraId="3A8A77CF" w14:textId="77777777" w:rsidR="001B206A" w:rsidRPr="00520C7C" w:rsidRDefault="001B206A" w:rsidP="00E702C2">
            <w:pPr>
              <w:jc w:val="right"/>
              <w:rPr>
                <w:sz w:val="20"/>
                <w:szCs w:val="20"/>
              </w:rPr>
            </w:pPr>
            <w:r w:rsidRPr="00520C7C">
              <w:rPr>
                <w:sz w:val="20"/>
                <w:szCs w:val="20"/>
              </w:rPr>
              <w:t>33</w:t>
            </w:r>
          </w:p>
        </w:tc>
        <w:tc>
          <w:tcPr>
            <w:tcW w:w="1559" w:type="dxa"/>
            <w:shd w:val="clear" w:color="auto" w:fill="auto"/>
            <w:vAlign w:val="center"/>
          </w:tcPr>
          <w:p w14:paraId="6D230BE0" w14:textId="57602508" w:rsidR="001B206A" w:rsidRPr="00520C7C" w:rsidRDefault="00F40EF2" w:rsidP="00E702C2">
            <w:pPr>
              <w:jc w:val="right"/>
              <w:rPr>
                <w:sz w:val="20"/>
                <w:szCs w:val="20"/>
              </w:rPr>
            </w:pPr>
            <w:r w:rsidRPr="00520C7C">
              <w:rPr>
                <w:sz w:val="20"/>
                <w:szCs w:val="20"/>
              </w:rPr>
              <w:t>0.0</w:t>
            </w:r>
            <w:r w:rsidR="007A49B8" w:rsidRPr="00520C7C">
              <w:rPr>
                <w:sz w:val="20"/>
                <w:szCs w:val="20"/>
              </w:rPr>
              <w:t xml:space="preserve"> </w:t>
            </w:r>
            <w:r w:rsidRPr="00520C7C">
              <w:rPr>
                <w:sz w:val="20"/>
                <w:szCs w:val="20"/>
              </w:rPr>
              <w:t>(</w:t>
            </w:r>
            <w:r w:rsidR="001B206A" w:rsidRPr="00520C7C">
              <w:rPr>
                <w:sz w:val="20"/>
                <w:szCs w:val="20"/>
              </w:rPr>
              <w:t>0.0)</w:t>
            </w:r>
          </w:p>
        </w:tc>
      </w:tr>
      <w:tr w:rsidR="00520C7C" w:rsidRPr="00520C7C" w14:paraId="7C8472C8" w14:textId="77777777" w:rsidTr="00911173">
        <w:trPr>
          <w:trHeight w:val="284"/>
        </w:trPr>
        <w:tc>
          <w:tcPr>
            <w:tcW w:w="2689" w:type="dxa"/>
            <w:shd w:val="clear" w:color="auto" w:fill="auto"/>
          </w:tcPr>
          <w:p w14:paraId="26173378" w14:textId="0FDC84E5" w:rsidR="001B206A" w:rsidRPr="00520C7C" w:rsidRDefault="0018786B" w:rsidP="00EB555B">
            <w:pPr>
              <w:rPr>
                <w:sz w:val="20"/>
                <w:szCs w:val="20"/>
              </w:rPr>
            </w:pPr>
            <w:r w:rsidRPr="00520C7C">
              <w:rPr>
                <w:sz w:val="20"/>
                <w:szCs w:val="20"/>
              </w:rPr>
              <w:t>Completers^^^</w:t>
            </w:r>
          </w:p>
        </w:tc>
        <w:tc>
          <w:tcPr>
            <w:tcW w:w="425" w:type="dxa"/>
            <w:shd w:val="clear" w:color="auto" w:fill="auto"/>
          </w:tcPr>
          <w:p w14:paraId="631E376B" w14:textId="77777777" w:rsidR="001B206A" w:rsidRPr="00520C7C" w:rsidRDefault="001B206A" w:rsidP="00E702C2">
            <w:pPr>
              <w:jc w:val="right"/>
              <w:rPr>
                <w:sz w:val="20"/>
                <w:szCs w:val="20"/>
              </w:rPr>
            </w:pPr>
            <w:r w:rsidRPr="00520C7C">
              <w:rPr>
                <w:sz w:val="20"/>
                <w:szCs w:val="20"/>
              </w:rPr>
              <w:t>35</w:t>
            </w:r>
          </w:p>
        </w:tc>
        <w:tc>
          <w:tcPr>
            <w:tcW w:w="1701" w:type="dxa"/>
            <w:shd w:val="clear" w:color="auto" w:fill="auto"/>
          </w:tcPr>
          <w:p w14:paraId="1940DFE3" w14:textId="4199BD4F" w:rsidR="001B206A" w:rsidRPr="00520C7C" w:rsidRDefault="007A49B8" w:rsidP="00E702C2">
            <w:pPr>
              <w:jc w:val="right"/>
              <w:rPr>
                <w:sz w:val="20"/>
                <w:szCs w:val="20"/>
              </w:rPr>
            </w:pPr>
            <w:r w:rsidRPr="00520C7C">
              <w:rPr>
                <w:bCs/>
                <w:sz w:val="20"/>
                <w:szCs w:val="20"/>
              </w:rPr>
              <w:t>10.0</w:t>
            </w:r>
            <w:r w:rsidR="001B206A" w:rsidRPr="00520C7C">
              <w:rPr>
                <w:bCs/>
                <w:sz w:val="20"/>
                <w:szCs w:val="20"/>
              </w:rPr>
              <w:t xml:space="preserve"> (14.0)</w:t>
            </w:r>
          </w:p>
        </w:tc>
        <w:tc>
          <w:tcPr>
            <w:tcW w:w="425" w:type="dxa"/>
            <w:shd w:val="clear" w:color="auto" w:fill="auto"/>
          </w:tcPr>
          <w:p w14:paraId="68D9BD09" w14:textId="77777777" w:rsidR="001B206A" w:rsidRPr="00520C7C" w:rsidRDefault="001B206A" w:rsidP="00E702C2">
            <w:pPr>
              <w:jc w:val="right"/>
              <w:rPr>
                <w:sz w:val="20"/>
                <w:szCs w:val="20"/>
              </w:rPr>
            </w:pPr>
            <w:r w:rsidRPr="00520C7C">
              <w:rPr>
                <w:sz w:val="20"/>
                <w:szCs w:val="20"/>
              </w:rPr>
              <w:t>26</w:t>
            </w:r>
          </w:p>
        </w:tc>
        <w:tc>
          <w:tcPr>
            <w:tcW w:w="1559" w:type="dxa"/>
            <w:shd w:val="clear" w:color="auto" w:fill="auto"/>
          </w:tcPr>
          <w:p w14:paraId="0435FD9B" w14:textId="5B8D9355" w:rsidR="001B206A" w:rsidRPr="00520C7C" w:rsidRDefault="00E702C2" w:rsidP="00E702C2">
            <w:pPr>
              <w:jc w:val="right"/>
              <w:rPr>
                <w:sz w:val="20"/>
                <w:szCs w:val="20"/>
              </w:rPr>
            </w:pPr>
            <w:r w:rsidRPr="00520C7C">
              <w:rPr>
                <w:bCs/>
                <w:sz w:val="20"/>
                <w:szCs w:val="20"/>
              </w:rPr>
              <w:t xml:space="preserve">    </w:t>
            </w:r>
            <w:r w:rsidR="007A49B8" w:rsidRPr="00520C7C">
              <w:rPr>
                <w:bCs/>
                <w:sz w:val="20"/>
                <w:szCs w:val="20"/>
              </w:rPr>
              <w:t xml:space="preserve">0.0 </w:t>
            </w:r>
            <w:r w:rsidR="001B206A" w:rsidRPr="00520C7C">
              <w:rPr>
                <w:bCs/>
                <w:sz w:val="20"/>
                <w:szCs w:val="20"/>
              </w:rPr>
              <w:t>(5.0)</w:t>
            </w:r>
          </w:p>
        </w:tc>
        <w:tc>
          <w:tcPr>
            <w:tcW w:w="426" w:type="dxa"/>
            <w:shd w:val="clear" w:color="auto" w:fill="auto"/>
          </w:tcPr>
          <w:p w14:paraId="264ED609" w14:textId="77777777" w:rsidR="001B206A" w:rsidRPr="00520C7C" w:rsidRDefault="001B206A" w:rsidP="00E702C2">
            <w:pPr>
              <w:jc w:val="right"/>
              <w:rPr>
                <w:sz w:val="20"/>
                <w:szCs w:val="20"/>
              </w:rPr>
            </w:pPr>
            <w:r w:rsidRPr="00520C7C">
              <w:rPr>
                <w:sz w:val="20"/>
                <w:szCs w:val="20"/>
              </w:rPr>
              <w:t>16</w:t>
            </w:r>
          </w:p>
        </w:tc>
        <w:tc>
          <w:tcPr>
            <w:tcW w:w="1559" w:type="dxa"/>
            <w:shd w:val="clear" w:color="auto" w:fill="auto"/>
            <w:vAlign w:val="center"/>
          </w:tcPr>
          <w:p w14:paraId="3975EFFC" w14:textId="698E3574" w:rsidR="009E2A82" w:rsidRPr="00520C7C" w:rsidRDefault="007A49B8" w:rsidP="00E702C2">
            <w:pPr>
              <w:jc w:val="right"/>
              <w:rPr>
                <w:bCs/>
                <w:sz w:val="20"/>
                <w:szCs w:val="20"/>
              </w:rPr>
            </w:pPr>
            <w:r w:rsidRPr="00520C7C">
              <w:rPr>
                <w:bCs/>
                <w:sz w:val="20"/>
                <w:szCs w:val="20"/>
              </w:rPr>
              <w:t xml:space="preserve">4.5 </w:t>
            </w:r>
            <w:r w:rsidR="001B206A" w:rsidRPr="00520C7C">
              <w:rPr>
                <w:bCs/>
                <w:sz w:val="20"/>
                <w:szCs w:val="20"/>
              </w:rPr>
              <w:t>(18.0)</w:t>
            </w:r>
          </w:p>
        </w:tc>
      </w:tr>
      <w:tr w:rsidR="001B206A" w:rsidRPr="00520C7C" w14:paraId="72741E41" w14:textId="77777777" w:rsidTr="00911173">
        <w:tc>
          <w:tcPr>
            <w:tcW w:w="8784" w:type="dxa"/>
            <w:gridSpan w:val="7"/>
            <w:shd w:val="clear" w:color="auto" w:fill="auto"/>
            <w:vAlign w:val="center"/>
          </w:tcPr>
          <w:p w14:paraId="638752DB" w14:textId="77777777" w:rsidR="00F40EF2" w:rsidRPr="00520C7C" w:rsidRDefault="00F40EF2" w:rsidP="00EB555B">
            <w:pPr>
              <w:rPr>
                <w:bCs/>
                <w:i/>
                <w:sz w:val="20"/>
                <w:szCs w:val="20"/>
              </w:rPr>
            </w:pPr>
          </w:p>
          <w:p w14:paraId="0E7CC1FE" w14:textId="77777777" w:rsidR="00852F10" w:rsidRPr="00520C7C" w:rsidRDefault="00852F10" w:rsidP="00EB555B">
            <w:pPr>
              <w:rPr>
                <w:bCs/>
                <w:i/>
                <w:sz w:val="20"/>
                <w:szCs w:val="20"/>
              </w:rPr>
            </w:pPr>
          </w:p>
          <w:p w14:paraId="00345381" w14:textId="72F2D66E" w:rsidR="001B206A" w:rsidRPr="00520C7C" w:rsidRDefault="001B206A" w:rsidP="00A018D7">
            <w:pPr>
              <w:rPr>
                <w:bCs/>
                <w:i/>
                <w:sz w:val="20"/>
                <w:szCs w:val="20"/>
              </w:rPr>
            </w:pPr>
            <w:r w:rsidRPr="00520C7C">
              <w:rPr>
                <w:b/>
                <w:bCs/>
                <w:i/>
                <w:sz w:val="20"/>
                <w:szCs w:val="20"/>
              </w:rPr>
              <w:t>Uptake</w:t>
            </w:r>
            <w:r w:rsidR="00827496" w:rsidRPr="00520C7C">
              <w:rPr>
                <w:b/>
                <w:bCs/>
                <w:i/>
                <w:sz w:val="20"/>
                <w:szCs w:val="20"/>
              </w:rPr>
              <w:t>*</w:t>
            </w:r>
            <w:r w:rsidRPr="00520C7C">
              <w:rPr>
                <w:bCs/>
                <w:i/>
                <w:sz w:val="20"/>
                <w:szCs w:val="20"/>
              </w:rPr>
              <w:t xml:space="preserve"> </w:t>
            </w:r>
            <w:r w:rsidR="009E2A82" w:rsidRPr="00F97013">
              <w:rPr>
                <w:bCs/>
                <w:i/>
                <w:sz w:val="20"/>
                <w:szCs w:val="20"/>
              </w:rPr>
              <w:t xml:space="preserve">participant </w:t>
            </w:r>
            <w:r w:rsidRPr="00F97013">
              <w:rPr>
                <w:bCs/>
                <w:i/>
                <w:sz w:val="20"/>
                <w:szCs w:val="20"/>
              </w:rPr>
              <w:t>attended baseline assessment;</w:t>
            </w:r>
            <w:r w:rsidRPr="00F97013">
              <w:rPr>
                <w:bCs/>
                <w:sz w:val="20"/>
                <w:szCs w:val="20"/>
              </w:rPr>
              <w:t xml:space="preserve"> </w:t>
            </w:r>
            <w:r w:rsidRPr="00F97013">
              <w:rPr>
                <w:b/>
                <w:bCs/>
                <w:i/>
                <w:sz w:val="20"/>
                <w:szCs w:val="20"/>
              </w:rPr>
              <w:t xml:space="preserve">Uptake </w:t>
            </w:r>
            <w:r w:rsidR="002C2D89" w:rsidRPr="00F97013">
              <w:rPr>
                <w:b/>
                <w:bCs/>
                <w:i/>
                <w:sz w:val="20"/>
                <w:szCs w:val="20"/>
              </w:rPr>
              <w:t>retention</w:t>
            </w:r>
            <w:r w:rsidR="00827496" w:rsidRPr="00F97013">
              <w:rPr>
                <w:b/>
                <w:bCs/>
                <w:i/>
                <w:sz w:val="20"/>
                <w:szCs w:val="20"/>
              </w:rPr>
              <w:t>**</w:t>
            </w:r>
            <w:r w:rsidRPr="00F97013">
              <w:rPr>
                <w:bCs/>
                <w:i/>
                <w:sz w:val="20"/>
                <w:szCs w:val="20"/>
              </w:rPr>
              <w:t xml:space="preserve"> </w:t>
            </w:r>
            <w:r w:rsidR="006C366F" w:rsidRPr="00F97013">
              <w:rPr>
                <w:bCs/>
                <w:i/>
                <w:sz w:val="20"/>
                <w:szCs w:val="20"/>
              </w:rPr>
              <w:t>% of participants who attended the 12-week assessment out of those who attended the baseline assessment</w:t>
            </w:r>
            <w:r w:rsidRPr="00F97013">
              <w:rPr>
                <w:bCs/>
                <w:i/>
                <w:sz w:val="20"/>
                <w:szCs w:val="20"/>
              </w:rPr>
              <w:t xml:space="preserve">; </w:t>
            </w:r>
            <w:r w:rsidR="00B61456" w:rsidRPr="00F97013">
              <w:rPr>
                <w:b/>
                <w:bCs/>
                <w:i/>
                <w:sz w:val="20"/>
                <w:szCs w:val="20"/>
              </w:rPr>
              <w:t xml:space="preserve">Uptake </w:t>
            </w:r>
            <w:r w:rsidR="005A5C98" w:rsidRPr="00F97013">
              <w:rPr>
                <w:b/>
                <w:bCs/>
                <w:i/>
                <w:sz w:val="20"/>
                <w:szCs w:val="20"/>
              </w:rPr>
              <w:t>a</w:t>
            </w:r>
            <w:r w:rsidR="00B61456" w:rsidRPr="00F97013">
              <w:rPr>
                <w:b/>
                <w:bCs/>
                <w:i/>
                <w:sz w:val="20"/>
                <w:szCs w:val="20"/>
              </w:rPr>
              <w:t>dherence^</w:t>
            </w:r>
            <w:r w:rsidR="00B61456" w:rsidRPr="00F97013">
              <w:rPr>
                <w:bCs/>
                <w:i/>
                <w:sz w:val="20"/>
                <w:szCs w:val="20"/>
              </w:rPr>
              <w:t xml:space="preserve"> % of participants who attended the baseline assessment who also attended </w:t>
            </w:r>
            <w:r w:rsidR="00CB416F" w:rsidRPr="00F97013">
              <w:rPr>
                <w:bCs/>
                <w:i/>
                <w:sz w:val="20"/>
                <w:szCs w:val="20"/>
              </w:rPr>
              <w:t xml:space="preserve">≥ 8 </w:t>
            </w:r>
            <w:r w:rsidR="00A018D7" w:rsidRPr="00F97013">
              <w:rPr>
                <w:bCs/>
                <w:i/>
                <w:sz w:val="20"/>
                <w:szCs w:val="20"/>
              </w:rPr>
              <w:t>Momenta sessions (Momenta-F</w:t>
            </w:r>
            <w:r w:rsidR="00B61456" w:rsidRPr="00F97013">
              <w:rPr>
                <w:bCs/>
                <w:i/>
                <w:sz w:val="20"/>
                <w:szCs w:val="20"/>
              </w:rPr>
              <w:t>itness and Momenta only) or gym sessions (fitness only)</w:t>
            </w:r>
            <w:r w:rsidR="0018786B" w:rsidRPr="00F97013">
              <w:rPr>
                <w:bCs/>
                <w:i/>
                <w:sz w:val="20"/>
                <w:szCs w:val="20"/>
              </w:rPr>
              <w:t>;</w:t>
            </w:r>
            <w:r w:rsidR="00B61456" w:rsidRPr="00F97013">
              <w:rPr>
                <w:bCs/>
                <w:i/>
                <w:sz w:val="20"/>
                <w:szCs w:val="20"/>
              </w:rPr>
              <w:t xml:space="preserve"> </w:t>
            </w:r>
            <w:r w:rsidRPr="00F97013">
              <w:rPr>
                <w:b/>
                <w:bCs/>
                <w:i/>
                <w:sz w:val="20"/>
                <w:szCs w:val="20"/>
              </w:rPr>
              <w:t xml:space="preserve">Overall </w:t>
            </w:r>
            <w:r w:rsidR="002C2D89" w:rsidRPr="00F97013">
              <w:rPr>
                <w:b/>
                <w:bCs/>
                <w:i/>
                <w:sz w:val="20"/>
                <w:szCs w:val="20"/>
              </w:rPr>
              <w:t>retention</w:t>
            </w:r>
            <w:r w:rsidR="00827496" w:rsidRPr="00F97013">
              <w:rPr>
                <w:b/>
                <w:bCs/>
                <w:i/>
                <w:sz w:val="20"/>
                <w:szCs w:val="20"/>
              </w:rPr>
              <w:t>***</w:t>
            </w:r>
            <w:r w:rsidRPr="00F97013">
              <w:rPr>
                <w:bCs/>
                <w:i/>
                <w:sz w:val="20"/>
                <w:szCs w:val="20"/>
              </w:rPr>
              <w:t xml:space="preserve"> </w:t>
            </w:r>
            <w:r w:rsidR="00827496" w:rsidRPr="00F97013">
              <w:rPr>
                <w:bCs/>
                <w:i/>
                <w:sz w:val="20"/>
                <w:szCs w:val="20"/>
              </w:rPr>
              <w:t xml:space="preserve">% of all those referred who </w:t>
            </w:r>
            <w:r w:rsidRPr="00F97013">
              <w:rPr>
                <w:bCs/>
                <w:i/>
                <w:sz w:val="20"/>
                <w:szCs w:val="20"/>
              </w:rPr>
              <w:t>attended</w:t>
            </w:r>
            <w:r w:rsidR="00827496" w:rsidRPr="00F97013">
              <w:rPr>
                <w:bCs/>
                <w:i/>
                <w:sz w:val="20"/>
                <w:szCs w:val="20"/>
              </w:rPr>
              <w:t xml:space="preserve"> both</w:t>
            </w:r>
            <w:r w:rsidRPr="00F97013">
              <w:rPr>
                <w:bCs/>
                <w:i/>
                <w:sz w:val="20"/>
                <w:szCs w:val="20"/>
              </w:rPr>
              <w:t xml:space="preserve"> baseline and </w:t>
            </w:r>
            <w:r w:rsidR="00827496" w:rsidRPr="00F97013">
              <w:rPr>
                <w:bCs/>
                <w:i/>
                <w:sz w:val="20"/>
                <w:szCs w:val="20"/>
              </w:rPr>
              <w:t>12-week</w:t>
            </w:r>
            <w:r w:rsidRPr="00F97013">
              <w:rPr>
                <w:bCs/>
                <w:i/>
                <w:sz w:val="20"/>
                <w:szCs w:val="20"/>
              </w:rPr>
              <w:t xml:space="preserve"> assessment</w:t>
            </w:r>
            <w:r w:rsidR="0018786B" w:rsidRPr="00F97013">
              <w:rPr>
                <w:bCs/>
                <w:i/>
                <w:sz w:val="20"/>
                <w:szCs w:val="20"/>
              </w:rPr>
              <w:t>;</w:t>
            </w:r>
            <w:r w:rsidR="00B61456" w:rsidRPr="00F97013">
              <w:rPr>
                <w:bCs/>
                <w:i/>
                <w:sz w:val="20"/>
                <w:szCs w:val="20"/>
              </w:rPr>
              <w:t xml:space="preserve"> </w:t>
            </w:r>
            <w:r w:rsidR="00B61456" w:rsidRPr="00F97013">
              <w:rPr>
                <w:b/>
                <w:bCs/>
                <w:i/>
                <w:sz w:val="20"/>
                <w:szCs w:val="20"/>
              </w:rPr>
              <w:t xml:space="preserve">Overall </w:t>
            </w:r>
            <w:r w:rsidR="005A5C98" w:rsidRPr="00F97013">
              <w:rPr>
                <w:b/>
                <w:bCs/>
                <w:i/>
                <w:sz w:val="20"/>
                <w:szCs w:val="20"/>
              </w:rPr>
              <w:t>a</w:t>
            </w:r>
            <w:r w:rsidR="00B61456" w:rsidRPr="00F97013">
              <w:rPr>
                <w:b/>
                <w:bCs/>
                <w:i/>
                <w:sz w:val="20"/>
                <w:szCs w:val="20"/>
              </w:rPr>
              <w:t>dherence^^</w:t>
            </w:r>
            <w:r w:rsidR="00B61456" w:rsidRPr="00F97013">
              <w:rPr>
                <w:bCs/>
                <w:i/>
                <w:sz w:val="20"/>
                <w:szCs w:val="20"/>
              </w:rPr>
              <w:t xml:space="preserve"> % of all those referred who attended </w:t>
            </w:r>
            <w:r w:rsidR="00CB416F" w:rsidRPr="00F97013">
              <w:rPr>
                <w:bCs/>
                <w:i/>
                <w:sz w:val="20"/>
                <w:szCs w:val="20"/>
              </w:rPr>
              <w:t xml:space="preserve">≥ </w:t>
            </w:r>
            <w:r w:rsidR="00B61456" w:rsidRPr="00F97013">
              <w:rPr>
                <w:bCs/>
                <w:i/>
                <w:sz w:val="20"/>
                <w:szCs w:val="20"/>
              </w:rPr>
              <w:t>eight</w:t>
            </w:r>
            <w:r w:rsidR="00A018D7" w:rsidRPr="00F97013">
              <w:rPr>
                <w:bCs/>
                <w:i/>
                <w:sz w:val="20"/>
                <w:szCs w:val="20"/>
              </w:rPr>
              <w:t xml:space="preserve"> Momenta sessions (Momenta-F</w:t>
            </w:r>
            <w:r w:rsidR="00B61456" w:rsidRPr="00F97013">
              <w:rPr>
                <w:bCs/>
                <w:i/>
                <w:sz w:val="20"/>
                <w:szCs w:val="20"/>
              </w:rPr>
              <w:t xml:space="preserve">itness and Momenta only) or </w:t>
            </w:r>
            <w:r w:rsidR="00B61456" w:rsidRPr="00520C7C">
              <w:rPr>
                <w:bCs/>
                <w:i/>
                <w:sz w:val="20"/>
                <w:szCs w:val="20"/>
              </w:rPr>
              <w:t>exercise sessions (fitness only)</w:t>
            </w:r>
            <w:r w:rsidR="0018786B" w:rsidRPr="00520C7C">
              <w:rPr>
                <w:bCs/>
                <w:i/>
                <w:sz w:val="20"/>
                <w:szCs w:val="20"/>
              </w:rPr>
              <w:t>; Completers^^^ those who completed the 12-week assessment</w:t>
            </w:r>
          </w:p>
        </w:tc>
      </w:tr>
    </w:tbl>
    <w:p w14:paraId="278F329F" w14:textId="77777777" w:rsidR="004C4A50" w:rsidRPr="00520C7C" w:rsidRDefault="004C4A50" w:rsidP="000244AA">
      <w:pPr>
        <w:spacing w:line="480" w:lineRule="auto"/>
        <w:rPr>
          <w:rFonts w:eastAsia="Calibri"/>
        </w:rPr>
      </w:pPr>
    </w:p>
    <w:p w14:paraId="5BDC260E" w14:textId="6465C670" w:rsidR="00F256B4" w:rsidRPr="00F97013" w:rsidRDefault="000A466D" w:rsidP="000244AA">
      <w:pPr>
        <w:spacing w:line="480" w:lineRule="auto"/>
        <w:rPr>
          <w:rFonts w:eastAsia="Calibri"/>
        </w:rPr>
      </w:pPr>
      <w:r w:rsidRPr="00F97013">
        <w:rPr>
          <w:rFonts w:eastAsia="Calibri"/>
        </w:rPr>
        <w:t xml:space="preserve">Physiological and psychological data were not normally distributed. </w:t>
      </w:r>
      <w:r w:rsidR="004D305A" w:rsidRPr="00F97013">
        <w:rPr>
          <w:rFonts w:eastAsia="Calibri"/>
        </w:rPr>
        <w:t xml:space="preserve">Quantitative </w:t>
      </w:r>
      <w:r w:rsidR="001354E3" w:rsidRPr="00F97013">
        <w:rPr>
          <w:rFonts w:eastAsia="Calibri"/>
        </w:rPr>
        <w:t>data</w:t>
      </w:r>
      <w:r w:rsidR="004D305A" w:rsidRPr="00F97013">
        <w:rPr>
          <w:rFonts w:eastAsia="Calibri"/>
        </w:rPr>
        <w:t xml:space="preserve"> </w:t>
      </w:r>
      <w:proofErr w:type="gramStart"/>
      <w:r w:rsidR="004D305A" w:rsidRPr="00F97013">
        <w:rPr>
          <w:rFonts w:eastAsia="Calibri"/>
        </w:rPr>
        <w:t>are presented</w:t>
      </w:r>
      <w:proofErr w:type="gramEnd"/>
      <w:r w:rsidR="004D305A" w:rsidRPr="00F97013">
        <w:rPr>
          <w:rFonts w:eastAsia="Calibri"/>
        </w:rPr>
        <w:t xml:space="preserve"> as exploratory, due to the small sample size</w:t>
      </w:r>
      <w:r w:rsidR="00541200" w:rsidRPr="00F97013">
        <w:rPr>
          <w:rFonts w:eastAsia="Calibri"/>
        </w:rPr>
        <w:t xml:space="preserve"> and are presented here for </w:t>
      </w:r>
      <w:r w:rsidR="00B96CD8" w:rsidRPr="00F97013">
        <w:rPr>
          <w:rFonts w:eastAsia="Calibri"/>
        </w:rPr>
        <w:t>information</w:t>
      </w:r>
      <w:r w:rsidR="00541200" w:rsidRPr="00F97013">
        <w:rPr>
          <w:rFonts w:eastAsia="Calibri"/>
        </w:rPr>
        <w:t xml:space="preserve"> and general description</w:t>
      </w:r>
      <w:r w:rsidR="004D305A" w:rsidRPr="00F97013">
        <w:rPr>
          <w:rFonts w:eastAsia="Calibri"/>
        </w:rPr>
        <w:t xml:space="preserve">. </w:t>
      </w:r>
      <w:r w:rsidR="00DC0E47" w:rsidRPr="00F97013">
        <w:rPr>
          <w:rFonts w:eastAsia="Calibri"/>
        </w:rPr>
        <w:t xml:space="preserve">No </w:t>
      </w:r>
      <w:r w:rsidR="003415ED" w:rsidRPr="00F97013">
        <w:rPr>
          <w:rFonts w:eastAsia="Calibri"/>
        </w:rPr>
        <w:t xml:space="preserve">differences </w:t>
      </w:r>
      <w:proofErr w:type="gramStart"/>
      <w:r w:rsidR="00DC0E47" w:rsidRPr="00F97013">
        <w:rPr>
          <w:rFonts w:eastAsia="Calibri"/>
        </w:rPr>
        <w:t>were found</w:t>
      </w:r>
      <w:proofErr w:type="gramEnd"/>
      <w:r w:rsidR="00DC0E47" w:rsidRPr="00F97013">
        <w:rPr>
          <w:rFonts w:eastAsia="Calibri"/>
        </w:rPr>
        <w:t xml:space="preserve"> </w:t>
      </w:r>
      <w:r w:rsidR="003415ED" w:rsidRPr="00F97013">
        <w:rPr>
          <w:rFonts w:eastAsia="Calibri"/>
        </w:rPr>
        <w:t>between</w:t>
      </w:r>
      <w:r w:rsidR="008B396A" w:rsidRPr="00F97013">
        <w:rPr>
          <w:rFonts w:eastAsia="Calibri"/>
        </w:rPr>
        <w:t xml:space="preserve"> programme</w:t>
      </w:r>
      <w:r w:rsidR="003415ED" w:rsidRPr="00F97013">
        <w:rPr>
          <w:rFonts w:eastAsia="Calibri"/>
        </w:rPr>
        <w:t xml:space="preserve"> groups</w:t>
      </w:r>
      <w:r w:rsidR="0042411E" w:rsidRPr="00F97013">
        <w:rPr>
          <w:rFonts w:eastAsia="Calibri"/>
        </w:rPr>
        <w:t xml:space="preserve"> </w:t>
      </w:r>
      <w:r w:rsidR="00EC77C7" w:rsidRPr="00F97013">
        <w:rPr>
          <w:rFonts w:eastAsia="Calibri"/>
        </w:rPr>
        <w:t xml:space="preserve">either </w:t>
      </w:r>
      <w:r w:rsidR="003415ED" w:rsidRPr="00F97013">
        <w:rPr>
          <w:rFonts w:eastAsia="Calibri"/>
        </w:rPr>
        <w:t xml:space="preserve">at </w:t>
      </w:r>
      <w:r w:rsidR="0042411E" w:rsidRPr="00F97013">
        <w:rPr>
          <w:rFonts w:eastAsia="Calibri"/>
        </w:rPr>
        <w:t xml:space="preserve">baseline or </w:t>
      </w:r>
      <w:r w:rsidR="003415ED" w:rsidRPr="00F97013">
        <w:rPr>
          <w:rFonts w:eastAsia="Calibri"/>
        </w:rPr>
        <w:t xml:space="preserve">at </w:t>
      </w:r>
      <w:r w:rsidR="0042411E" w:rsidRPr="00F97013">
        <w:rPr>
          <w:rFonts w:eastAsia="Calibri"/>
        </w:rPr>
        <w:t>12 weeks</w:t>
      </w:r>
      <w:r w:rsidR="003415ED" w:rsidRPr="00F97013">
        <w:rPr>
          <w:rFonts w:eastAsia="Calibri"/>
        </w:rPr>
        <w:t xml:space="preserve">, </w:t>
      </w:r>
      <w:r w:rsidRPr="00F97013">
        <w:rPr>
          <w:rFonts w:eastAsia="Calibri"/>
        </w:rPr>
        <w:t>for any measures</w:t>
      </w:r>
      <w:r w:rsidRPr="00B50235">
        <w:rPr>
          <w:rFonts w:eastAsia="Calibri"/>
        </w:rPr>
        <w:t xml:space="preserve">. </w:t>
      </w:r>
      <w:r w:rsidR="00F2327B" w:rsidRPr="00B50235">
        <w:rPr>
          <w:rFonts w:eastAsia="Calibri"/>
        </w:rPr>
        <w:t xml:space="preserve">Despite the small sample size, </w:t>
      </w:r>
      <w:r w:rsidR="00F17844" w:rsidRPr="00B50235">
        <w:rPr>
          <w:rFonts w:eastAsia="Calibri"/>
        </w:rPr>
        <w:t>within-</w:t>
      </w:r>
      <w:r w:rsidRPr="00B50235">
        <w:rPr>
          <w:rFonts w:eastAsia="Calibri"/>
        </w:rPr>
        <w:t xml:space="preserve">group </w:t>
      </w:r>
      <w:r w:rsidR="009F0CF1" w:rsidRPr="00B50235">
        <w:rPr>
          <w:rFonts w:eastAsia="Calibri"/>
        </w:rPr>
        <w:t>changes</w:t>
      </w:r>
      <w:r w:rsidR="00F17844" w:rsidRPr="00B50235">
        <w:rPr>
          <w:rFonts w:eastAsia="Calibri"/>
        </w:rPr>
        <w:t xml:space="preserve"> between baseline and </w:t>
      </w:r>
      <w:r w:rsidR="0042411E" w:rsidRPr="00B50235">
        <w:rPr>
          <w:rFonts w:eastAsia="Calibri"/>
        </w:rPr>
        <w:t>12 weeks</w:t>
      </w:r>
      <w:r w:rsidRPr="00B50235">
        <w:rPr>
          <w:rFonts w:eastAsia="Calibri"/>
        </w:rPr>
        <w:t xml:space="preserve"> were evident for weight, BMI and waist c</w:t>
      </w:r>
      <w:r w:rsidR="00246ACD" w:rsidRPr="00B50235">
        <w:rPr>
          <w:rFonts w:eastAsia="Calibri"/>
        </w:rPr>
        <w:t>ircumference</w:t>
      </w:r>
      <w:r w:rsidR="003A24F6" w:rsidRPr="00B50235">
        <w:rPr>
          <w:rFonts w:eastAsia="Calibri"/>
        </w:rPr>
        <w:t xml:space="preserve"> </w:t>
      </w:r>
      <w:r w:rsidR="00246ACD" w:rsidRPr="00B50235">
        <w:rPr>
          <w:rFonts w:eastAsia="Calibri"/>
        </w:rPr>
        <w:t>for Momenta</w:t>
      </w:r>
      <w:r w:rsidR="00AC2519" w:rsidRPr="00B50235">
        <w:rPr>
          <w:rFonts w:eastAsia="Calibri"/>
        </w:rPr>
        <w:t>-</w:t>
      </w:r>
      <w:r w:rsidR="0009540E" w:rsidRPr="00B50235">
        <w:rPr>
          <w:rFonts w:eastAsia="Calibri"/>
        </w:rPr>
        <w:t>F</w:t>
      </w:r>
      <w:r w:rsidR="00B34057" w:rsidRPr="00B50235">
        <w:rPr>
          <w:rFonts w:eastAsia="Calibri"/>
        </w:rPr>
        <w:t>itness</w:t>
      </w:r>
      <w:r w:rsidR="003A24F6" w:rsidRPr="00B50235">
        <w:rPr>
          <w:rFonts w:eastAsia="Calibri"/>
        </w:rPr>
        <w:t>,</w:t>
      </w:r>
      <w:r w:rsidR="00B34057" w:rsidRPr="00B50235">
        <w:rPr>
          <w:rFonts w:eastAsia="Calibri"/>
        </w:rPr>
        <w:t xml:space="preserve"> and Momenta</w:t>
      </w:r>
      <w:r w:rsidR="00246ACD" w:rsidRPr="00B50235">
        <w:rPr>
          <w:rFonts w:eastAsia="Calibri"/>
        </w:rPr>
        <w:t xml:space="preserve"> (</w:t>
      </w:r>
      <w:r w:rsidR="00AC598F" w:rsidRPr="00B50235">
        <w:rPr>
          <w:rFonts w:eastAsia="Calibri"/>
        </w:rPr>
        <w:t>T</w:t>
      </w:r>
      <w:r w:rsidR="00DA21E2" w:rsidRPr="00B50235">
        <w:rPr>
          <w:rFonts w:eastAsia="Calibri"/>
        </w:rPr>
        <w:t>able 3). Follow-up a</w:t>
      </w:r>
      <w:r w:rsidR="003415ED" w:rsidRPr="00B50235">
        <w:rPr>
          <w:rFonts w:eastAsia="Calibri"/>
        </w:rPr>
        <w:t>nalysi</w:t>
      </w:r>
      <w:r w:rsidRPr="00B50235">
        <w:rPr>
          <w:rFonts w:eastAsia="Calibri"/>
        </w:rPr>
        <w:t xml:space="preserve">s </w:t>
      </w:r>
      <w:r w:rsidR="00DA21E2" w:rsidRPr="00B50235">
        <w:rPr>
          <w:rFonts w:eastAsia="Calibri"/>
        </w:rPr>
        <w:t>at</w:t>
      </w:r>
      <w:r w:rsidRPr="00B50235">
        <w:rPr>
          <w:rFonts w:eastAsia="Calibri"/>
        </w:rPr>
        <w:t xml:space="preserve"> </w:t>
      </w:r>
      <w:r w:rsidR="008C16BB" w:rsidRPr="00B50235">
        <w:rPr>
          <w:rFonts w:eastAsia="Calibri"/>
        </w:rPr>
        <w:t>52-weeks</w:t>
      </w:r>
      <w:r w:rsidR="00DA21E2" w:rsidRPr="00B50235">
        <w:rPr>
          <w:rFonts w:eastAsia="Calibri"/>
        </w:rPr>
        <w:t xml:space="preserve"> (</w:t>
      </w:r>
      <w:r w:rsidR="00EC77C7" w:rsidRPr="00B50235">
        <w:rPr>
          <w:rFonts w:eastAsia="Calibri"/>
        </w:rPr>
        <w:t xml:space="preserve">available </w:t>
      </w:r>
      <w:r w:rsidRPr="00B50235">
        <w:rPr>
          <w:rFonts w:eastAsia="Calibri"/>
        </w:rPr>
        <w:t>s</w:t>
      </w:r>
      <w:r w:rsidR="00246ACD" w:rsidRPr="00B50235">
        <w:rPr>
          <w:rFonts w:eastAsia="Calibri"/>
        </w:rPr>
        <w:t>ub-sample</w:t>
      </w:r>
      <w:r w:rsidR="00DA21E2" w:rsidRPr="00B50235">
        <w:rPr>
          <w:rFonts w:eastAsia="Calibri"/>
        </w:rPr>
        <w:t>)</w:t>
      </w:r>
      <w:r w:rsidR="00246ACD" w:rsidRPr="00B50235">
        <w:rPr>
          <w:rFonts w:eastAsia="Calibri"/>
        </w:rPr>
        <w:t xml:space="preserve"> </w:t>
      </w:r>
      <w:r w:rsidR="00BD4A60" w:rsidRPr="00B50235">
        <w:rPr>
          <w:rFonts w:eastAsia="Calibri"/>
        </w:rPr>
        <w:t>suggested</w:t>
      </w:r>
      <w:r w:rsidRPr="00B50235">
        <w:rPr>
          <w:rFonts w:eastAsia="Calibri"/>
        </w:rPr>
        <w:t xml:space="preserve"> changes we</w:t>
      </w:r>
      <w:r w:rsidR="00DA21E2" w:rsidRPr="00B50235">
        <w:rPr>
          <w:rFonts w:eastAsia="Calibri"/>
        </w:rPr>
        <w:t>re maintained for</w:t>
      </w:r>
      <w:r w:rsidR="00246ACD" w:rsidRPr="00B50235">
        <w:rPr>
          <w:rFonts w:eastAsia="Calibri"/>
        </w:rPr>
        <w:t xml:space="preserve"> Momenta</w:t>
      </w:r>
      <w:r w:rsidR="00AC2519" w:rsidRPr="00B50235">
        <w:rPr>
          <w:rFonts w:eastAsia="Calibri"/>
        </w:rPr>
        <w:t>-</w:t>
      </w:r>
      <w:r w:rsidR="0009540E" w:rsidRPr="00B50235">
        <w:rPr>
          <w:rFonts w:eastAsia="Calibri"/>
        </w:rPr>
        <w:t>F</w:t>
      </w:r>
      <w:r w:rsidR="00B34057" w:rsidRPr="00B50235">
        <w:rPr>
          <w:rFonts w:eastAsia="Calibri"/>
        </w:rPr>
        <w:t>itness</w:t>
      </w:r>
      <w:r w:rsidRPr="00B50235">
        <w:rPr>
          <w:rFonts w:eastAsia="Calibri"/>
        </w:rPr>
        <w:t xml:space="preserve"> </w:t>
      </w:r>
      <w:r w:rsidR="00246ACD" w:rsidRPr="00B50235">
        <w:rPr>
          <w:rFonts w:eastAsia="Calibri"/>
        </w:rPr>
        <w:t>(</w:t>
      </w:r>
      <w:r w:rsidR="00246ACD" w:rsidRPr="00B50235">
        <w:rPr>
          <w:rFonts w:eastAsia="Calibri"/>
          <w:i/>
        </w:rPr>
        <w:t>n</w:t>
      </w:r>
      <w:r w:rsidR="00FD6C44" w:rsidRPr="00B50235">
        <w:rPr>
          <w:rFonts w:eastAsia="Calibri"/>
        </w:rPr>
        <w:t xml:space="preserve"> </w:t>
      </w:r>
      <w:r w:rsidR="00246ACD" w:rsidRPr="00B50235">
        <w:rPr>
          <w:rFonts w:eastAsia="Calibri"/>
        </w:rPr>
        <w:t xml:space="preserve">=18) </w:t>
      </w:r>
      <w:r w:rsidRPr="00B50235">
        <w:rPr>
          <w:rFonts w:eastAsia="Calibri"/>
        </w:rPr>
        <w:t>only.</w:t>
      </w:r>
    </w:p>
    <w:p w14:paraId="4DB1B3A7" w14:textId="7BB8AB83" w:rsidR="00ED3346" w:rsidRPr="00520C7C" w:rsidRDefault="00ED3346" w:rsidP="000244AA">
      <w:pPr>
        <w:spacing w:line="480" w:lineRule="auto"/>
        <w:rPr>
          <w:rFonts w:eastAsia="Calibri"/>
        </w:rPr>
      </w:pPr>
    </w:p>
    <w:p w14:paraId="14D2080C" w14:textId="0B5F9FE4" w:rsidR="00562C9B" w:rsidRPr="00520C7C" w:rsidRDefault="00331517" w:rsidP="00EB555B">
      <w:pPr>
        <w:spacing w:line="480" w:lineRule="auto"/>
        <w:rPr>
          <w:rFonts w:eastAsia="Calibri"/>
          <w:b/>
        </w:rPr>
      </w:pPr>
      <w:r w:rsidRPr="00520C7C">
        <w:rPr>
          <w:rFonts w:eastAsia="Calibri"/>
          <w:b/>
        </w:rPr>
        <w:t>Table 3.</w:t>
      </w:r>
      <w:r w:rsidR="00562C9B" w:rsidRPr="00520C7C">
        <w:rPr>
          <w:rFonts w:eastAsia="Calibri"/>
          <w:b/>
        </w:rPr>
        <w:t xml:space="preserve"> Weight, BMI and waist circumference change</w:t>
      </w:r>
      <w:r w:rsidRPr="00520C7C">
        <w:rPr>
          <w:rFonts w:eastAsia="Calibri"/>
          <w:b/>
        </w:rPr>
        <w:t>.</w:t>
      </w:r>
    </w:p>
    <w:p w14:paraId="6E85B203" w14:textId="77777777" w:rsidR="004C4A50" w:rsidRPr="00520C7C" w:rsidRDefault="004C4A50" w:rsidP="00EB555B">
      <w:pPr>
        <w:spacing w:line="480" w:lineRule="auto"/>
        <w:rPr>
          <w:rFonts w:eastAsia="Calibri"/>
          <w:b/>
        </w:rPr>
      </w:pPr>
    </w:p>
    <w:tbl>
      <w:tblPr>
        <w:tblStyle w:val="TableGrid"/>
        <w:tblW w:w="518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987"/>
        <w:gridCol w:w="1847"/>
        <w:gridCol w:w="853"/>
        <w:gridCol w:w="275"/>
        <w:gridCol w:w="1843"/>
      </w:tblGrid>
      <w:tr w:rsidR="00520C7C" w:rsidRPr="00520C7C" w14:paraId="47639F24" w14:textId="77777777" w:rsidTr="008A47F4">
        <w:trPr>
          <w:trHeight w:val="284"/>
        </w:trPr>
        <w:tc>
          <w:tcPr>
            <w:tcW w:w="1363" w:type="pct"/>
            <w:vMerge w:val="restart"/>
            <w:shd w:val="clear" w:color="auto" w:fill="EEECE1" w:themeFill="background2"/>
            <w:vAlign w:val="bottom"/>
          </w:tcPr>
          <w:p w14:paraId="3A86006D" w14:textId="2EA22ED3" w:rsidR="000D5A50" w:rsidRPr="00520C7C" w:rsidRDefault="000D5A50" w:rsidP="00B2315B">
            <w:pPr>
              <w:rPr>
                <w:b/>
                <w:sz w:val="20"/>
                <w:szCs w:val="20"/>
              </w:rPr>
            </w:pPr>
            <w:r w:rsidRPr="00520C7C">
              <w:rPr>
                <w:b/>
                <w:sz w:val="20"/>
                <w:szCs w:val="20"/>
              </w:rPr>
              <w:t>End of programme results</w:t>
            </w:r>
          </w:p>
        </w:tc>
        <w:tc>
          <w:tcPr>
            <w:tcW w:w="1062" w:type="pct"/>
            <w:shd w:val="clear" w:color="auto" w:fill="EEECE1" w:themeFill="background2"/>
            <w:vAlign w:val="bottom"/>
          </w:tcPr>
          <w:p w14:paraId="41CB37AE" w14:textId="71791713" w:rsidR="000D5A50" w:rsidRPr="00520C7C" w:rsidRDefault="000D5A50" w:rsidP="00B2315B">
            <w:pPr>
              <w:rPr>
                <w:b/>
                <w:sz w:val="20"/>
                <w:szCs w:val="20"/>
              </w:rPr>
            </w:pPr>
            <w:r w:rsidRPr="00520C7C">
              <w:rPr>
                <w:b/>
                <w:sz w:val="20"/>
                <w:szCs w:val="20"/>
              </w:rPr>
              <w:t>Median (IQR)</w:t>
            </w:r>
          </w:p>
        </w:tc>
        <w:tc>
          <w:tcPr>
            <w:tcW w:w="987" w:type="pct"/>
            <w:shd w:val="clear" w:color="auto" w:fill="EEECE1" w:themeFill="background2"/>
            <w:vAlign w:val="bottom"/>
          </w:tcPr>
          <w:p w14:paraId="2C23DF23" w14:textId="74ED10AC" w:rsidR="000D5A50" w:rsidRPr="00520C7C" w:rsidRDefault="000D5A50" w:rsidP="00B2315B">
            <w:pPr>
              <w:rPr>
                <w:b/>
                <w:sz w:val="20"/>
                <w:szCs w:val="20"/>
              </w:rPr>
            </w:pPr>
            <w:r w:rsidRPr="00520C7C">
              <w:rPr>
                <w:b/>
                <w:sz w:val="20"/>
                <w:szCs w:val="20"/>
              </w:rPr>
              <w:t>Median (IQR)</w:t>
            </w:r>
          </w:p>
        </w:tc>
        <w:tc>
          <w:tcPr>
            <w:tcW w:w="456" w:type="pct"/>
            <w:shd w:val="clear" w:color="auto" w:fill="EEECE1" w:themeFill="background2"/>
            <w:vAlign w:val="bottom"/>
          </w:tcPr>
          <w:p w14:paraId="7733FBC8" w14:textId="77777777" w:rsidR="000D5A50" w:rsidRPr="00520C7C" w:rsidRDefault="000D5A50" w:rsidP="00B2315B">
            <w:pPr>
              <w:rPr>
                <w:b/>
                <w:sz w:val="20"/>
                <w:szCs w:val="20"/>
              </w:rPr>
            </w:pPr>
            <w:r w:rsidRPr="00520C7C">
              <w:rPr>
                <w:b/>
                <w:sz w:val="20"/>
                <w:szCs w:val="20"/>
              </w:rPr>
              <w:t>z</w:t>
            </w:r>
          </w:p>
        </w:tc>
        <w:tc>
          <w:tcPr>
            <w:tcW w:w="147" w:type="pct"/>
            <w:shd w:val="clear" w:color="auto" w:fill="EEECE1" w:themeFill="background2"/>
            <w:vAlign w:val="bottom"/>
          </w:tcPr>
          <w:p w14:paraId="204F1F18" w14:textId="2EFFA831" w:rsidR="000D5A50" w:rsidRPr="00520C7C" w:rsidRDefault="000D5A50" w:rsidP="00B2315B">
            <w:pPr>
              <w:rPr>
                <w:b/>
                <w:sz w:val="20"/>
                <w:szCs w:val="20"/>
              </w:rPr>
            </w:pPr>
          </w:p>
        </w:tc>
        <w:tc>
          <w:tcPr>
            <w:tcW w:w="985" w:type="pct"/>
            <w:shd w:val="clear" w:color="auto" w:fill="EEECE1" w:themeFill="background2"/>
            <w:vAlign w:val="bottom"/>
          </w:tcPr>
          <w:p w14:paraId="1668A3E1" w14:textId="470C2A43" w:rsidR="000D5A50" w:rsidRPr="00520C7C" w:rsidRDefault="000D5A50" w:rsidP="008A47F4">
            <w:pPr>
              <w:rPr>
                <w:b/>
                <w:sz w:val="20"/>
                <w:szCs w:val="20"/>
              </w:rPr>
            </w:pPr>
            <w:r w:rsidRPr="00520C7C">
              <w:rPr>
                <w:b/>
                <w:sz w:val="20"/>
                <w:szCs w:val="20"/>
              </w:rPr>
              <w:t>Median (IQR)</w:t>
            </w:r>
          </w:p>
        </w:tc>
      </w:tr>
      <w:tr w:rsidR="00520C7C" w:rsidRPr="00520C7C" w14:paraId="592BA2F1" w14:textId="77777777" w:rsidTr="008A47F4">
        <w:trPr>
          <w:trHeight w:val="284"/>
        </w:trPr>
        <w:tc>
          <w:tcPr>
            <w:tcW w:w="1363" w:type="pct"/>
            <w:vMerge/>
            <w:shd w:val="clear" w:color="auto" w:fill="EEECE1" w:themeFill="background2"/>
            <w:vAlign w:val="bottom"/>
          </w:tcPr>
          <w:p w14:paraId="53DD0EF4" w14:textId="38299767" w:rsidR="000D5A50" w:rsidRPr="00520C7C" w:rsidRDefault="000D5A50" w:rsidP="00B2315B">
            <w:pPr>
              <w:rPr>
                <w:b/>
                <w:sz w:val="20"/>
                <w:szCs w:val="20"/>
              </w:rPr>
            </w:pPr>
          </w:p>
        </w:tc>
        <w:tc>
          <w:tcPr>
            <w:tcW w:w="1062" w:type="pct"/>
            <w:shd w:val="clear" w:color="auto" w:fill="EEECE1" w:themeFill="background2"/>
            <w:vAlign w:val="bottom"/>
          </w:tcPr>
          <w:p w14:paraId="62938F8A" w14:textId="77777777" w:rsidR="000D5A50" w:rsidRPr="00520C7C" w:rsidRDefault="000D5A50" w:rsidP="00B2315B">
            <w:pPr>
              <w:rPr>
                <w:b/>
                <w:sz w:val="20"/>
                <w:szCs w:val="20"/>
              </w:rPr>
            </w:pPr>
            <w:r w:rsidRPr="00520C7C">
              <w:rPr>
                <w:b/>
                <w:sz w:val="20"/>
                <w:szCs w:val="20"/>
              </w:rPr>
              <w:t>Baseline</w:t>
            </w:r>
          </w:p>
        </w:tc>
        <w:tc>
          <w:tcPr>
            <w:tcW w:w="987" w:type="pct"/>
            <w:shd w:val="clear" w:color="auto" w:fill="EEECE1" w:themeFill="background2"/>
            <w:vAlign w:val="bottom"/>
          </w:tcPr>
          <w:p w14:paraId="51F6865C" w14:textId="05B4CAFF" w:rsidR="000D5A50" w:rsidRPr="00520C7C" w:rsidRDefault="000D5A50" w:rsidP="00B2315B">
            <w:pPr>
              <w:rPr>
                <w:b/>
                <w:sz w:val="20"/>
                <w:szCs w:val="20"/>
              </w:rPr>
            </w:pPr>
            <w:r w:rsidRPr="00520C7C">
              <w:rPr>
                <w:b/>
                <w:sz w:val="20"/>
                <w:szCs w:val="20"/>
              </w:rPr>
              <w:t>12 weeks</w:t>
            </w:r>
          </w:p>
        </w:tc>
        <w:tc>
          <w:tcPr>
            <w:tcW w:w="456" w:type="pct"/>
            <w:shd w:val="clear" w:color="auto" w:fill="EEECE1" w:themeFill="background2"/>
            <w:vAlign w:val="bottom"/>
          </w:tcPr>
          <w:p w14:paraId="798D6078" w14:textId="77777777" w:rsidR="000D5A50" w:rsidRPr="00520C7C" w:rsidRDefault="000D5A50" w:rsidP="00B2315B">
            <w:pPr>
              <w:rPr>
                <w:b/>
                <w:sz w:val="20"/>
                <w:szCs w:val="20"/>
              </w:rPr>
            </w:pPr>
          </w:p>
        </w:tc>
        <w:tc>
          <w:tcPr>
            <w:tcW w:w="147" w:type="pct"/>
            <w:shd w:val="clear" w:color="auto" w:fill="EEECE1" w:themeFill="background2"/>
            <w:vAlign w:val="bottom"/>
          </w:tcPr>
          <w:p w14:paraId="3FBACEC2" w14:textId="77777777" w:rsidR="000D5A50" w:rsidRPr="00520C7C" w:rsidRDefault="000D5A50" w:rsidP="00B2315B">
            <w:pPr>
              <w:rPr>
                <w:b/>
                <w:sz w:val="20"/>
                <w:szCs w:val="20"/>
              </w:rPr>
            </w:pPr>
          </w:p>
        </w:tc>
        <w:tc>
          <w:tcPr>
            <w:tcW w:w="985" w:type="pct"/>
            <w:shd w:val="clear" w:color="auto" w:fill="EEECE1" w:themeFill="background2"/>
            <w:vAlign w:val="bottom"/>
          </w:tcPr>
          <w:p w14:paraId="7C9AC95B" w14:textId="3B75E016" w:rsidR="000D5A50" w:rsidRPr="00520C7C" w:rsidRDefault="000D5A50" w:rsidP="008A47F4">
            <w:pPr>
              <w:rPr>
                <w:b/>
                <w:sz w:val="20"/>
                <w:szCs w:val="20"/>
              </w:rPr>
            </w:pPr>
            <w:r w:rsidRPr="00520C7C">
              <w:rPr>
                <w:b/>
                <w:sz w:val="20"/>
                <w:szCs w:val="20"/>
              </w:rPr>
              <w:t>Change</w:t>
            </w:r>
          </w:p>
        </w:tc>
      </w:tr>
      <w:tr w:rsidR="00520C7C" w:rsidRPr="00520C7C" w14:paraId="57CAC23E" w14:textId="77777777" w:rsidTr="008A47F4">
        <w:trPr>
          <w:trHeight w:val="284"/>
        </w:trPr>
        <w:tc>
          <w:tcPr>
            <w:tcW w:w="5000" w:type="pct"/>
            <w:gridSpan w:val="6"/>
            <w:shd w:val="clear" w:color="auto" w:fill="auto"/>
            <w:vAlign w:val="bottom"/>
          </w:tcPr>
          <w:p w14:paraId="7A16CD31" w14:textId="77777777" w:rsidR="000D5A50" w:rsidRPr="00520C7C" w:rsidRDefault="000D5A50" w:rsidP="00B2315B">
            <w:pPr>
              <w:rPr>
                <w:b/>
                <w:sz w:val="20"/>
                <w:szCs w:val="20"/>
              </w:rPr>
            </w:pPr>
            <w:r w:rsidRPr="00520C7C">
              <w:rPr>
                <w:b/>
                <w:sz w:val="20"/>
                <w:szCs w:val="20"/>
              </w:rPr>
              <w:t>Weight (kg)</w:t>
            </w:r>
          </w:p>
        </w:tc>
      </w:tr>
      <w:tr w:rsidR="00520C7C" w:rsidRPr="00520C7C" w14:paraId="00AC0FF3" w14:textId="77777777" w:rsidTr="008A47F4">
        <w:trPr>
          <w:trHeight w:val="284"/>
        </w:trPr>
        <w:tc>
          <w:tcPr>
            <w:tcW w:w="1363" w:type="pct"/>
            <w:shd w:val="clear" w:color="auto" w:fill="auto"/>
            <w:vAlign w:val="bottom"/>
          </w:tcPr>
          <w:p w14:paraId="188A9EAA" w14:textId="7C47456C" w:rsidR="000D5A50" w:rsidRPr="00520C7C" w:rsidRDefault="00A018D7" w:rsidP="00A018D7">
            <w:pPr>
              <w:rPr>
                <w:sz w:val="20"/>
                <w:szCs w:val="20"/>
              </w:rPr>
            </w:pPr>
            <w:r w:rsidRPr="00520C7C">
              <w:rPr>
                <w:sz w:val="20"/>
                <w:szCs w:val="20"/>
              </w:rPr>
              <w:t>Momenta-F</w:t>
            </w:r>
            <w:r w:rsidR="006E1DA5" w:rsidRPr="00520C7C">
              <w:rPr>
                <w:sz w:val="20"/>
                <w:szCs w:val="20"/>
              </w:rPr>
              <w:t>itness</w:t>
            </w:r>
            <w:r w:rsidR="000D5A50" w:rsidRPr="00520C7C">
              <w:rPr>
                <w:sz w:val="20"/>
                <w:szCs w:val="20"/>
              </w:rPr>
              <w:t xml:space="preserve"> (n=35)</w:t>
            </w:r>
          </w:p>
        </w:tc>
        <w:tc>
          <w:tcPr>
            <w:tcW w:w="1062" w:type="pct"/>
            <w:shd w:val="clear" w:color="auto" w:fill="auto"/>
            <w:vAlign w:val="bottom"/>
          </w:tcPr>
          <w:p w14:paraId="18F5A6F1" w14:textId="59AD7FA4" w:rsidR="000D5A50" w:rsidRPr="00520C7C" w:rsidRDefault="000D5A50" w:rsidP="00B2315B">
            <w:pPr>
              <w:jc w:val="right"/>
              <w:rPr>
                <w:sz w:val="20"/>
                <w:szCs w:val="20"/>
              </w:rPr>
            </w:pPr>
            <w:r w:rsidRPr="00520C7C">
              <w:rPr>
                <w:sz w:val="20"/>
                <w:szCs w:val="20"/>
              </w:rPr>
              <w:t>88.9 (80.5 - 100.0)</w:t>
            </w:r>
          </w:p>
        </w:tc>
        <w:tc>
          <w:tcPr>
            <w:tcW w:w="987" w:type="pct"/>
            <w:shd w:val="clear" w:color="auto" w:fill="auto"/>
            <w:vAlign w:val="bottom"/>
          </w:tcPr>
          <w:p w14:paraId="23123475" w14:textId="213E2AC4" w:rsidR="000D5A50" w:rsidRPr="00520C7C" w:rsidRDefault="00F40EF2" w:rsidP="00B2315B">
            <w:pPr>
              <w:jc w:val="right"/>
              <w:rPr>
                <w:sz w:val="20"/>
                <w:szCs w:val="20"/>
              </w:rPr>
            </w:pPr>
            <w:r w:rsidRPr="00520C7C">
              <w:rPr>
                <w:sz w:val="20"/>
                <w:szCs w:val="20"/>
              </w:rPr>
              <w:t xml:space="preserve">88.0 </w:t>
            </w:r>
            <w:r w:rsidR="000D5A50" w:rsidRPr="00520C7C">
              <w:rPr>
                <w:sz w:val="20"/>
                <w:szCs w:val="20"/>
              </w:rPr>
              <w:t>(77.2 -</w:t>
            </w:r>
            <w:r w:rsidRPr="00520C7C">
              <w:rPr>
                <w:sz w:val="20"/>
                <w:szCs w:val="20"/>
              </w:rPr>
              <w:t xml:space="preserve"> </w:t>
            </w:r>
            <w:r w:rsidR="000D5A50" w:rsidRPr="00520C7C">
              <w:rPr>
                <w:sz w:val="20"/>
                <w:szCs w:val="20"/>
              </w:rPr>
              <w:t>95.8)</w:t>
            </w:r>
          </w:p>
        </w:tc>
        <w:tc>
          <w:tcPr>
            <w:tcW w:w="456" w:type="pct"/>
            <w:shd w:val="clear" w:color="auto" w:fill="auto"/>
            <w:vAlign w:val="bottom"/>
          </w:tcPr>
          <w:p w14:paraId="0C733C3B" w14:textId="77777777" w:rsidR="000D5A50" w:rsidRPr="00520C7C" w:rsidRDefault="000D5A50" w:rsidP="00B2315B">
            <w:pPr>
              <w:jc w:val="right"/>
              <w:rPr>
                <w:sz w:val="20"/>
                <w:szCs w:val="20"/>
              </w:rPr>
            </w:pPr>
            <w:r w:rsidRPr="00520C7C">
              <w:rPr>
                <w:sz w:val="20"/>
                <w:szCs w:val="20"/>
              </w:rPr>
              <w:t>-4.531</w:t>
            </w:r>
          </w:p>
        </w:tc>
        <w:tc>
          <w:tcPr>
            <w:tcW w:w="147" w:type="pct"/>
            <w:shd w:val="clear" w:color="auto" w:fill="auto"/>
            <w:vAlign w:val="bottom"/>
          </w:tcPr>
          <w:p w14:paraId="3BDA611A" w14:textId="10FDCC66" w:rsidR="000D5A50" w:rsidRPr="00520C7C" w:rsidRDefault="000D5A50" w:rsidP="00B2315B">
            <w:pPr>
              <w:jc w:val="right"/>
              <w:rPr>
                <w:sz w:val="20"/>
                <w:szCs w:val="20"/>
              </w:rPr>
            </w:pPr>
          </w:p>
        </w:tc>
        <w:tc>
          <w:tcPr>
            <w:tcW w:w="985" w:type="pct"/>
            <w:shd w:val="clear" w:color="auto" w:fill="auto"/>
            <w:vAlign w:val="bottom"/>
          </w:tcPr>
          <w:p w14:paraId="43CBE8BA" w14:textId="7B266D78" w:rsidR="000D5A50" w:rsidRPr="00520C7C" w:rsidRDefault="00F40EF2" w:rsidP="006169A3">
            <w:pPr>
              <w:rPr>
                <w:sz w:val="20"/>
                <w:szCs w:val="20"/>
              </w:rPr>
            </w:pPr>
            <w:r w:rsidRPr="00520C7C">
              <w:rPr>
                <w:sz w:val="20"/>
                <w:szCs w:val="20"/>
              </w:rPr>
              <w:t xml:space="preserve">-2.9 (-5.1 - </w:t>
            </w:r>
            <w:r w:rsidR="000D5A50" w:rsidRPr="00520C7C">
              <w:rPr>
                <w:sz w:val="20"/>
                <w:szCs w:val="20"/>
              </w:rPr>
              <w:t>-1.6)</w:t>
            </w:r>
          </w:p>
        </w:tc>
      </w:tr>
      <w:tr w:rsidR="00520C7C" w:rsidRPr="00520C7C" w14:paraId="59FD748E" w14:textId="77777777" w:rsidTr="008A47F4">
        <w:trPr>
          <w:trHeight w:val="284"/>
        </w:trPr>
        <w:tc>
          <w:tcPr>
            <w:tcW w:w="1363" w:type="pct"/>
            <w:shd w:val="clear" w:color="auto" w:fill="auto"/>
            <w:vAlign w:val="bottom"/>
          </w:tcPr>
          <w:p w14:paraId="63EC91BA" w14:textId="77777777" w:rsidR="000D5A50" w:rsidRPr="00520C7C" w:rsidRDefault="000D5A50" w:rsidP="00B2315B">
            <w:pPr>
              <w:rPr>
                <w:sz w:val="20"/>
                <w:szCs w:val="20"/>
              </w:rPr>
            </w:pPr>
            <w:r w:rsidRPr="00520C7C">
              <w:rPr>
                <w:sz w:val="20"/>
                <w:szCs w:val="20"/>
              </w:rPr>
              <w:t>Momenta only (n=26)</w:t>
            </w:r>
          </w:p>
        </w:tc>
        <w:tc>
          <w:tcPr>
            <w:tcW w:w="1062" w:type="pct"/>
            <w:shd w:val="clear" w:color="auto" w:fill="auto"/>
            <w:vAlign w:val="bottom"/>
          </w:tcPr>
          <w:p w14:paraId="059F6C1C" w14:textId="27168F0F" w:rsidR="000D5A50" w:rsidRPr="00520C7C" w:rsidRDefault="00F40EF2" w:rsidP="00B2315B">
            <w:pPr>
              <w:jc w:val="right"/>
              <w:rPr>
                <w:sz w:val="20"/>
                <w:szCs w:val="20"/>
              </w:rPr>
            </w:pPr>
            <w:r w:rsidRPr="00520C7C">
              <w:rPr>
                <w:sz w:val="20"/>
                <w:szCs w:val="20"/>
              </w:rPr>
              <w:t xml:space="preserve">87.8 (74.5 - </w:t>
            </w:r>
            <w:r w:rsidR="000D5A50" w:rsidRPr="00520C7C">
              <w:rPr>
                <w:sz w:val="20"/>
                <w:szCs w:val="20"/>
              </w:rPr>
              <w:t>77.0)</w:t>
            </w:r>
          </w:p>
        </w:tc>
        <w:tc>
          <w:tcPr>
            <w:tcW w:w="987" w:type="pct"/>
            <w:shd w:val="clear" w:color="auto" w:fill="auto"/>
            <w:vAlign w:val="bottom"/>
          </w:tcPr>
          <w:p w14:paraId="50031D73" w14:textId="1B7508C7" w:rsidR="000D5A50" w:rsidRPr="00520C7C" w:rsidRDefault="00F40EF2" w:rsidP="00B2315B">
            <w:pPr>
              <w:jc w:val="right"/>
              <w:rPr>
                <w:sz w:val="20"/>
                <w:szCs w:val="20"/>
              </w:rPr>
            </w:pPr>
            <w:r w:rsidRPr="00520C7C">
              <w:rPr>
                <w:sz w:val="20"/>
                <w:szCs w:val="20"/>
              </w:rPr>
              <w:t xml:space="preserve">83.3 (74.5 - </w:t>
            </w:r>
            <w:r w:rsidR="000D5A50" w:rsidRPr="00520C7C">
              <w:rPr>
                <w:sz w:val="20"/>
                <w:szCs w:val="20"/>
              </w:rPr>
              <w:t>92.5)</w:t>
            </w:r>
          </w:p>
        </w:tc>
        <w:tc>
          <w:tcPr>
            <w:tcW w:w="456" w:type="pct"/>
            <w:shd w:val="clear" w:color="auto" w:fill="auto"/>
            <w:vAlign w:val="bottom"/>
          </w:tcPr>
          <w:p w14:paraId="228DB639" w14:textId="77777777" w:rsidR="000D5A50" w:rsidRPr="00520C7C" w:rsidRDefault="000D5A50" w:rsidP="00B2315B">
            <w:pPr>
              <w:jc w:val="right"/>
              <w:rPr>
                <w:sz w:val="20"/>
                <w:szCs w:val="20"/>
              </w:rPr>
            </w:pPr>
            <w:r w:rsidRPr="00520C7C">
              <w:rPr>
                <w:sz w:val="20"/>
                <w:szCs w:val="20"/>
              </w:rPr>
              <w:t>-4.344</w:t>
            </w:r>
          </w:p>
        </w:tc>
        <w:tc>
          <w:tcPr>
            <w:tcW w:w="147" w:type="pct"/>
            <w:shd w:val="clear" w:color="auto" w:fill="auto"/>
            <w:vAlign w:val="bottom"/>
          </w:tcPr>
          <w:p w14:paraId="31945C55" w14:textId="5D27007D" w:rsidR="000D5A50" w:rsidRPr="00520C7C" w:rsidRDefault="000D5A50" w:rsidP="00B2315B">
            <w:pPr>
              <w:jc w:val="right"/>
              <w:rPr>
                <w:sz w:val="20"/>
                <w:szCs w:val="20"/>
              </w:rPr>
            </w:pPr>
          </w:p>
        </w:tc>
        <w:tc>
          <w:tcPr>
            <w:tcW w:w="985" w:type="pct"/>
            <w:shd w:val="clear" w:color="auto" w:fill="auto"/>
            <w:vAlign w:val="bottom"/>
          </w:tcPr>
          <w:p w14:paraId="23A7087D" w14:textId="13EB00D5" w:rsidR="000D5A50" w:rsidRPr="00520C7C" w:rsidRDefault="00F40EF2" w:rsidP="006169A3">
            <w:pPr>
              <w:rPr>
                <w:sz w:val="20"/>
                <w:szCs w:val="20"/>
              </w:rPr>
            </w:pPr>
            <w:r w:rsidRPr="00520C7C">
              <w:rPr>
                <w:sz w:val="20"/>
                <w:szCs w:val="20"/>
              </w:rPr>
              <w:t>-2.9 (-5.0 -</w:t>
            </w:r>
            <w:r w:rsidR="000D5A50" w:rsidRPr="00520C7C">
              <w:rPr>
                <w:sz w:val="20"/>
                <w:szCs w:val="20"/>
              </w:rPr>
              <w:t xml:space="preserve"> -2.0)</w:t>
            </w:r>
          </w:p>
        </w:tc>
      </w:tr>
      <w:tr w:rsidR="00520C7C" w:rsidRPr="00520C7C" w14:paraId="58E8AFF2" w14:textId="77777777" w:rsidTr="008A47F4">
        <w:trPr>
          <w:trHeight w:val="284"/>
        </w:trPr>
        <w:tc>
          <w:tcPr>
            <w:tcW w:w="1363" w:type="pct"/>
            <w:shd w:val="clear" w:color="auto" w:fill="auto"/>
            <w:vAlign w:val="bottom"/>
          </w:tcPr>
          <w:p w14:paraId="6B6D60EC" w14:textId="3959CA9D" w:rsidR="000D5A50" w:rsidRPr="00520C7C" w:rsidRDefault="006E1DA5" w:rsidP="00B2315B">
            <w:pPr>
              <w:rPr>
                <w:sz w:val="20"/>
                <w:szCs w:val="20"/>
              </w:rPr>
            </w:pPr>
            <w:r w:rsidRPr="00520C7C">
              <w:rPr>
                <w:sz w:val="20"/>
                <w:szCs w:val="20"/>
              </w:rPr>
              <w:t xml:space="preserve">Fitness </w:t>
            </w:r>
            <w:r w:rsidR="000D5A50" w:rsidRPr="00520C7C">
              <w:rPr>
                <w:sz w:val="20"/>
                <w:szCs w:val="20"/>
              </w:rPr>
              <w:t>only (n=15)</w:t>
            </w:r>
          </w:p>
        </w:tc>
        <w:tc>
          <w:tcPr>
            <w:tcW w:w="1062" w:type="pct"/>
            <w:shd w:val="clear" w:color="auto" w:fill="auto"/>
            <w:vAlign w:val="bottom"/>
          </w:tcPr>
          <w:p w14:paraId="5E2C28CE" w14:textId="707885B6" w:rsidR="000D5A50" w:rsidRPr="00520C7C" w:rsidRDefault="00F40EF2" w:rsidP="00B2315B">
            <w:pPr>
              <w:jc w:val="right"/>
              <w:rPr>
                <w:sz w:val="20"/>
                <w:szCs w:val="20"/>
              </w:rPr>
            </w:pPr>
            <w:r w:rsidRPr="00520C7C">
              <w:rPr>
                <w:sz w:val="20"/>
                <w:szCs w:val="20"/>
              </w:rPr>
              <w:t xml:space="preserve">76.2 (71.6 - </w:t>
            </w:r>
            <w:r w:rsidR="000D5A50" w:rsidRPr="00520C7C">
              <w:rPr>
                <w:sz w:val="20"/>
                <w:szCs w:val="20"/>
              </w:rPr>
              <w:t>86.9)</w:t>
            </w:r>
          </w:p>
        </w:tc>
        <w:tc>
          <w:tcPr>
            <w:tcW w:w="987" w:type="pct"/>
            <w:shd w:val="clear" w:color="auto" w:fill="auto"/>
            <w:vAlign w:val="bottom"/>
          </w:tcPr>
          <w:p w14:paraId="5F265667" w14:textId="13A2BF00" w:rsidR="000D5A50" w:rsidRPr="00520C7C" w:rsidRDefault="00F40EF2" w:rsidP="00B2315B">
            <w:pPr>
              <w:jc w:val="right"/>
              <w:rPr>
                <w:sz w:val="20"/>
                <w:szCs w:val="20"/>
              </w:rPr>
            </w:pPr>
            <w:r w:rsidRPr="00520C7C">
              <w:rPr>
                <w:sz w:val="20"/>
                <w:szCs w:val="20"/>
              </w:rPr>
              <w:t xml:space="preserve">76.6 (70.4 - </w:t>
            </w:r>
            <w:r w:rsidR="000D5A50" w:rsidRPr="00520C7C">
              <w:rPr>
                <w:sz w:val="20"/>
                <w:szCs w:val="20"/>
              </w:rPr>
              <w:t>84.6)</w:t>
            </w:r>
          </w:p>
        </w:tc>
        <w:tc>
          <w:tcPr>
            <w:tcW w:w="456" w:type="pct"/>
            <w:shd w:val="clear" w:color="auto" w:fill="auto"/>
            <w:vAlign w:val="bottom"/>
          </w:tcPr>
          <w:p w14:paraId="5CCD9903" w14:textId="77777777" w:rsidR="000D5A50" w:rsidRPr="00520C7C" w:rsidRDefault="000D5A50" w:rsidP="00B2315B">
            <w:pPr>
              <w:jc w:val="right"/>
              <w:rPr>
                <w:sz w:val="20"/>
                <w:szCs w:val="20"/>
              </w:rPr>
            </w:pPr>
            <w:r w:rsidRPr="00520C7C">
              <w:rPr>
                <w:sz w:val="20"/>
                <w:szCs w:val="20"/>
              </w:rPr>
              <w:t>-0.879</w:t>
            </w:r>
          </w:p>
        </w:tc>
        <w:tc>
          <w:tcPr>
            <w:tcW w:w="147" w:type="pct"/>
            <w:shd w:val="clear" w:color="auto" w:fill="auto"/>
            <w:vAlign w:val="bottom"/>
          </w:tcPr>
          <w:p w14:paraId="567401FF" w14:textId="5A6EDC70" w:rsidR="000D5A50" w:rsidRPr="00520C7C" w:rsidRDefault="000D5A50" w:rsidP="008A47F4">
            <w:pPr>
              <w:jc w:val="right"/>
              <w:rPr>
                <w:sz w:val="20"/>
                <w:szCs w:val="20"/>
              </w:rPr>
            </w:pPr>
            <w:r w:rsidRPr="00520C7C">
              <w:rPr>
                <w:sz w:val="20"/>
                <w:szCs w:val="20"/>
              </w:rPr>
              <w:t xml:space="preserve">  </w:t>
            </w:r>
          </w:p>
        </w:tc>
        <w:tc>
          <w:tcPr>
            <w:tcW w:w="985" w:type="pct"/>
            <w:shd w:val="clear" w:color="auto" w:fill="auto"/>
            <w:vAlign w:val="bottom"/>
          </w:tcPr>
          <w:p w14:paraId="3B7D81C8" w14:textId="33364C10" w:rsidR="000D5A50" w:rsidRPr="00520C7C" w:rsidRDefault="00F40EF2" w:rsidP="006169A3">
            <w:pPr>
              <w:rPr>
                <w:sz w:val="20"/>
                <w:szCs w:val="20"/>
              </w:rPr>
            </w:pPr>
            <w:r w:rsidRPr="00520C7C">
              <w:rPr>
                <w:sz w:val="20"/>
                <w:szCs w:val="20"/>
              </w:rPr>
              <w:t>0.0</w:t>
            </w:r>
            <w:r w:rsidR="000D5A50" w:rsidRPr="00520C7C">
              <w:rPr>
                <w:sz w:val="20"/>
                <w:szCs w:val="20"/>
              </w:rPr>
              <w:t xml:space="preserve"> (-3.2 - 1.0)</w:t>
            </w:r>
          </w:p>
        </w:tc>
      </w:tr>
      <w:tr w:rsidR="00520C7C" w:rsidRPr="00520C7C" w14:paraId="6E7E95EE" w14:textId="77777777" w:rsidTr="008A47F4">
        <w:trPr>
          <w:trHeight w:val="284"/>
        </w:trPr>
        <w:tc>
          <w:tcPr>
            <w:tcW w:w="5000" w:type="pct"/>
            <w:gridSpan w:val="6"/>
            <w:shd w:val="clear" w:color="auto" w:fill="auto"/>
            <w:vAlign w:val="bottom"/>
          </w:tcPr>
          <w:p w14:paraId="71B2AC08" w14:textId="77777777" w:rsidR="000D5A50" w:rsidRPr="00520C7C" w:rsidRDefault="000D5A50" w:rsidP="00B2315B">
            <w:pPr>
              <w:rPr>
                <w:b/>
                <w:bCs/>
                <w:sz w:val="20"/>
                <w:szCs w:val="20"/>
              </w:rPr>
            </w:pPr>
            <w:r w:rsidRPr="00520C7C">
              <w:rPr>
                <w:b/>
                <w:bCs/>
                <w:sz w:val="20"/>
                <w:szCs w:val="20"/>
              </w:rPr>
              <w:t>BMI (kg/m</w:t>
            </w:r>
            <w:r w:rsidRPr="00520C7C">
              <w:rPr>
                <w:b/>
                <w:bCs/>
                <w:sz w:val="20"/>
                <w:szCs w:val="20"/>
                <w:vertAlign w:val="superscript"/>
              </w:rPr>
              <w:t>2</w:t>
            </w:r>
            <w:r w:rsidRPr="00520C7C">
              <w:rPr>
                <w:b/>
                <w:bCs/>
                <w:sz w:val="20"/>
                <w:szCs w:val="20"/>
              </w:rPr>
              <w:t>)</w:t>
            </w:r>
          </w:p>
        </w:tc>
      </w:tr>
      <w:tr w:rsidR="00520C7C" w:rsidRPr="00520C7C" w14:paraId="4B463B9A" w14:textId="77777777" w:rsidTr="008A47F4">
        <w:trPr>
          <w:trHeight w:val="284"/>
        </w:trPr>
        <w:tc>
          <w:tcPr>
            <w:tcW w:w="1363" w:type="pct"/>
            <w:shd w:val="clear" w:color="auto" w:fill="auto"/>
            <w:vAlign w:val="bottom"/>
          </w:tcPr>
          <w:p w14:paraId="094AC260" w14:textId="42C0145C" w:rsidR="000D5A50" w:rsidRPr="00520C7C" w:rsidRDefault="00A018D7" w:rsidP="00A018D7">
            <w:pPr>
              <w:rPr>
                <w:sz w:val="20"/>
                <w:szCs w:val="20"/>
              </w:rPr>
            </w:pPr>
            <w:r w:rsidRPr="00520C7C">
              <w:rPr>
                <w:sz w:val="20"/>
                <w:szCs w:val="20"/>
              </w:rPr>
              <w:t>Momenta-F</w:t>
            </w:r>
            <w:r w:rsidR="006E1DA5" w:rsidRPr="00520C7C">
              <w:rPr>
                <w:sz w:val="20"/>
                <w:szCs w:val="20"/>
              </w:rPr>
              <w:t xml:space="preserve">itness </w:t>
            </w:r>
            <w:r w:rsidR="000D5A50" w:rsidRPr="00520C7C">
              <w:rPr>
                <w:sz w:val="20"/>
                <w:szCs w:val="20"/>
              </w:rPr>
              <w:t>(n=35)</w:t>
            </w:r>
          </w:p>
        </w:tc>
        <w:tc>
          <w:tcPr>
            <w:tcW w:w="1062" w:type="pct"/>
            <w:shd w:val="clear" w:color="auto" w:fill="auto"/>
            <w:vAlign w:val="bottom"/>
          </w:tcPr>
          <w:p w14:paraId="140F9A8B" w14:textId="48639689" w:rsidR="000D5A50" w:rsidRPr="00520C7C" w:rsidRDefault="00F40EF2" w:rsidP="00B2315B">
            <w:pPr>
              <w:jc w:val="right"/>
              <w:rPr>
                <w:sz w:val="20"/>
                <w:szCs w:val="20"/>
              </w:rPr>
            </w:pPr>
            <w:r w:rsidRPr="00520C7C">
              <w:rPr>
                <w:sz w:val="20"/>
                <w:szCs w:val="20"/>
              </w:rPr>
              <w:t xml:space="preserve">32.0 (30.3 - </w:t>
            </w:r>
            <w:r w:rsidR="000D5A50" w:rsidRPr="00520C7C">
              <w:rPr>
                <w:sz w:val="20"/>
                <w:szCs w:val="20"/>
              </w:rPr>
              <w:t>35.7)</w:t>
            </w:r>
          </w:p>
        </w:tc>
        <w:tc>
          <w:tcPr>
            <w:tcW w:w="987" w:type="pct"/>
            <w:shd w:val="clear" w:color="auto" w:fill="auto"/>
            <w:vAlign w:val="bottom"/>
          </w:tcPr>
          <w:p w14:paraId="35A88CC8" w14:textId="23D9B91D" w:rsidR="000D5A50" w:rsidRPr="00520C7C" w:rsidRDefault="00F40EF2" w:rsidP="00B2315B">
            <w:pPr>
              <w:jc w:val="right"/>
              <w:rPr>
                <w:sz w:val="20"/>
                <w:szCs w:val="20"/>
              </w:rPr>
            </w:pPr>
            <w:r w:rsidRPr="00520C7C">
              <w:rPr>
                <w:sz w:val="20"/>
                <w:szCs w:val="20"/>
              </w:rPr>
              <w:t xml:space="preserve">31.3 (29.2 – </w:t>
            </w:r>
            <w:r w:rsidR="000D5A50" w:rsidRPr="00520C7C">
              <w:rPr>
                <w:sz w:val="20"/>
                <w:szCs w:val="20"/>
              </w:rPr>
              <w:t>35.3)</w:t>
            </w:r>
          </w:p>
        </w:tc>
        <w:tc>
          <w:tcPr>
            <w:tcW w:w="456" w:type="pct"/>
            <w:shd w:val="clear" w:color="auto" w:fill="auto"/>
            <w:vAlign w:val="bottom"/>
          </w:tcPr>
          <w:p w14:paraId="1E2D96AC" w14:textId="77777777" w:rsidR="000D5A50" w:rsidRPr="00520C7C" w:rsidRDefault="000D5A50" w:rsidP="00B2315B">
            <w:pPr>
              <w:jc w:val="right"/>
              <w:rPr>
                <w:sz w:val="20"/>
                <w:szCs w:val="20"/>
              </w:rPr>
            </w:pPr>
            <w:r w:rsidRPr="00520C7C">
              <w:rPr>
                <w:sz w:val="20"/>
                <w:szCs w:val="20"/>
              </w:rPr>
              <w:t>-4-494</w:t>
            </w:r>
          </w:p>
        </w:tc>
        <w:tc>
          <w:tcPr>
            <w:tcW w:w="147" w:type="pct"/>
            <w:shd w:val="clear" w:color="auto" w:fill="auto"/>
            <w:vAlign w:val="bottom"/>
          </w:tcPr>
          <w:p w14:paraId="55F9F8EF" w14:textId="63678ACC" w:rsidR="000D5A50" w:rsidRPr="00520C7C" w:rsidRDefault="000D5A50" w:rsidP="00B2315B">
            <w:pPr>
              <w:jc w:val="right"/>
              <w:rPr>
                <w:sz w:val="20"/>
                <w:szCs w:val="20"/>
              </w:rPr>
            </w:pPr>
          </w:p>
        </w:tc>
        <w:tc>
          <w:tcPr>
            <w:tcW w:w="985" w:type="pct"/>
            <w:shd w:val="clear" w:color="auto" w:fill="auto"/>
            <w:vAlign w:val="bottom"/>
          </w:tcPr>
          <w:p w14:paraId="71CFC85B" w14:textId="2C170A39" w:rsidR="000D5A50" w:rsidRPr="00520C7C" w:rsidRDefault="00F20CAC" w:rsidP="006169A3">
            <w:pPr>
              <w:rPr>
                <w:sz w:val="20"/>
                <w:szCs w:val="20"/>
              </w:rPr>
            </w:pPr>
            <w:r w:rsidRPr="00520C7C">
              <w:rPr>
                <w:sz w:val="20"/>
                <w:szCs w:val="20"/>
              </w:rPr>
              <w:t>-1.1 (-1.</w:t>
            </w:r>
            <w:r w:rsidR="00F40EF2" w:rsidRPr="00520C7C">
              <w:rPr>
                <w:sz w:val="20"/>
                <w:szCs w:val="20"/>
              </w:rPr>
              <w:t xml:space="preserve">9 - </w:t>
            </w:r>
            <w:r w:rsidR="000D5A50" w:rsidRPr="00520C7C">
              <w:rPr>
                <w:sz w:val="20"/>
                <w:szCs w:val="20"/>
              </w:rPr>
              <w:t>-0.6)</w:t>
            </w:r>
          </w:p>
        </w:tc>
      </w:tr>
      <w:tr w:rsidR="00520C7C" w:rsidRPr="00520C7C" w14:paraId="42CB5A48" w14:textId="77777777" w:rsidTr="008A47F4">
        <w:trPr>
          <w:trHeight w:val="284"/>
        </w:trPr>
        <w:tc>
          <w:tcPr>
            <w:tcW w:w="1363" w:type="pct"/>
            <w:shd w:val="clear" w:color="auto" w:fill="auto"/>
            <w:vAlign w:val="bottom"/>
          </w:tcPr>
          <w:p w14:paraId="60695630" w14:textId="77777777" w:rsidR="000D5A50" w:rsidRPr="00520C7C" w:rsidRDefault="000D5A50" w:rsidP="00B2315B">
            <w:pPr>
              <w:rPr>
                <w:sz w:val="20"/>
                <w:szCs w:val="20"/>
              </w:rPr>
            </w:pPr>
            <w:r w:rsidRPr="00520C7C">
              <w:rPr>
                <w:sz w:val="20"/>
                <w:szCs w:val="20"/>
              </w:rPr>
              <w:t>Momenta only (n=26)</w:t>
            </w:r>
          </w:p>
        </w:tc>
        <w:tc>
          <w:tcPr>
            <w:tcW w:w="1062" w:type="pct"/>
            <w:shd w:val="clear" w:color="auto" w:fill="auto"/>
            <w:vAlign w:val="bottom"/>
          </w:tcPr>
          <w:p w14:paraId="441C6812" w14:textId="21B01E16" w:rsidR="000D5A50" w:rsidRPr="00520C7C" w:rsidRDefault="00F40EF2" w:rsidP="00B2315B">
            <w:pPr>
              <w:jc w:val="right"/>
              <w:rPr>
                <w:sz w:val="20"/>
                <w:szCs w:val="20"/>
              </w:rPr>
            </w:pPr>
            <w:r w:rsidRPr="00520C7C">
              <w:rPr>
                <w:sz w:val="20"/>
                <w:szCs w:val="20"/>
              </w:rPr>
              <w:t xml:space="preserve">32.0 (30.0 - </w:t>
            </w:r>
            <w:r w:rsidR="000D5A50" w:rsidRPr="00520C7C">
              <w:rPr>
                <w:sz w:val="20"/>
                <w:szCs w:val="20"/>
              </w:rPr>
              <w:t>34.5)</w:t>
            </w:r>
          </w:p>
        </w:tc>
        <w:tc>
          <w:tcPr>
            <w:tcW w:w="987" w:type="pct"/>
            <w:shd w:val="clear" w:color="auto" w:fill="auto"/>
            <w:vAlign w:val="bottom"/>
          </w:tcPr>
          <w:p w14:paraId="10D16551" w14:textId="4AC7D772" w:rsidR="000D5A50" w:rsidRPr="00520C7C" w:rsidRDefault="000D5A50" w:rsidP="00B2315B">
            <w:pPr>
              <w:jc w:val="right"/>
              <w:rPr>
                <w:sz w:val="20"/>
                <w:szCs w:val="20"/>
              </w:rPr>
            </w:pPr>
            <w:r w:rsidRPr="00520C7C">
              <w:rPr>
                <w:sz w:val="20"/>
                <w:szCs w:val="20"/>
              </w:rPr>
              <w:t>3</w:t>
            </w:r>
            <w:r w:rsidR="00F40EF2" w:rsidRPr="00520C7C">
              <w:rPr>
                <w:sz w:val="20"/>
                <w:szCs w:val="20"/>
              </w:rPr>
              <w:t xml:space="preserve">1.3 (28.6 – </w:t>
            </w:r>
            <w:r w:rsidRPr="00520C7C">
              <w:rPr>
                <w:sz w:val="20"/>
                <w:szCs w:val="20"/>
              </w:rPr>
              <w:t>33.6)</w:t>
            </w:r>
          </w:p>
        </w:tc>
        <w:tc>
          <w:tcPr>
            <w:tcW w:w="456" w:type="pct"/>
            <w:shd w:val="clear" w:color="auto" w:fill="auto"/>
            <w:vAlign w:val="bottom"/>
          </w:tcPr>
          <w:p w14:paraId="4C2881AF" w14:textId="77777777" w:rsidR="000D5A50" w:rsidRPr="00520C7C" w:rsidRDefault="000D5A50" w:rsidP="00B2315B">
            <w:pPr>
              <w:jc w:val="right"/>
              <w:rPr>
                <w:sz w:val="20"/>
                <w:szCs w:val="20"/>
              </w:rPr>
            </w:pPr>
            <w:r w:rsidRPr="00520C7C">
              <w:rPr>
                <w:sz w:val="20"/>
                <w:szCs w:val="20"/>
              </w:rPr>
              <w:t>-4.356</w:t>
            </w:r>
          </w:p>
        </w:tc>
        <w:tc>
          <w:tcPr>
            <w:tcW w:w="147" w:type="pct"/>
            <w:shd w:val="clear" w:color="auto" w:fill="auto"/>
            <w:vAlign w:val="bottom"/>
          </w:tcPr>
          <w:p w14:paraId="4903E553" w14:textId="29CAB4AB" w:rsidR="000D5A50" w:rsidRPr="00520C7C" w:rsidRDefault="000D5A50" w:rsidP="00B2315B">
            <w:pPr>
              <w:jc w:val="right"/>
              <w:rPr>
                <w:sz w:val="20"/>
                <w:szCs w:val="20"/>
              </w:rPr>
            </w:pPr>
          </w:p>
        </w:tc>
        <w:tc>
          <w:tcPr>
            <w:tcW w:w="985" w:type="pct"/>
            <w:shd w:val="clear" w:color="auto" w:fill="auto"/>
            <w:vAlign w:val="bottom"/>
          </w:tcPr>
          <w:p w14:paraId="35817752" w14:textId="313D7EFE" w:rsidR="000D5A50" w:rsidRPr="00520C7C" w:rsidRDefault="00F40EF2" w:rsidP="006169A3">
            <w:pPr>
              <w:rPr>
                <w:sz w:val="20"/>
                <w:szCs w:val="20"/>
              </w:rPr>
            </w:pPr>
            <w:r w:rsidRPr="00520C7C">
              <w:rPr>
                <w:sz w:val="20"/>
                <w:szCs w:val="20"/>
              </w:rPr>
              <w:t xml:space="preserve">-1.2 (-1.6 - </w:t>
            </w:r>
            <w:r w:rsidR="000D5A50" w:rsidRPr="00520C7C">
              <w:rPr>
                <w:sz w:val="20"/>
                <w:szCs w:val="20"/>
              </w:rPr>
              <w:t>-0.8)</w:t>
            </w:r>
          </w:p>
        </w:tc>
      </w:tr>
      <w:tr w:rsidR="00520C7C" w:rsidRPr="00520C7C" w14:paraId="2EC57213" w14:textId="77777777" w:rsidTr="008A47F4">
        <w:trPr>
          <w:trHeight w:val="284"/>
        </w:trPr>
        <w:tc>
          <w:tcPr>
            <w:tcW w:w="1363" w:type="pct"/>
            <w:shd w:val="clear" w:color="auto" w:fill="auto"/>
            <w:vAlign w:val="bottom"/>
          </w:tcPr>
          <w:p w14:paraId="0E535FAA" w14:textId="2E46ED86" w:rsidR="000D5A50" w:rsidRPr="00520C7C" w:rsidRDefault="006E1DA5" w:rsidP="00B2315B">
            <w:pPr>
              <w:rPr>
                <w:sz w:val="20"/>
                <w:szCs w:val="20"/>
              </w:rPr>
            </w:pPr>
            <w:r w:rsidRPr="00520C7C">
              <w:rPr>
                <w:sz w:val="20"/>
                <w:szCs w:val="20"/>
              </w:rPr>
              <w:t xml:space="preserve">Fitness </w:t>
            </w:r>
            <w:r w:rsidR="000D5A50" w:rsidRPr="00520C7C">
              <w:rPr>
                <w:sz w:val="20"/>
                <w:szCs w:val="20"/>
              </w:rPr>
              <w:t>only (n=14)</w:t>
            </w:r>
          </w:p>
        </w:tc>
        <w:tc>
          <w:tcPr>
            <w:tcW w:w="1062" w:type="pct"/>
            <w:shd w:val="clear" w:color="auto" w:fill="auto"/>
            <w:vAlign w:val="bottom"/>
          </w:tcPr>
          <w:p w14:paraId="2F89B8A0" w14:textId="25418DBC" w:rsidR="000D5A50" w:rsidRPr="00520C7C" w:rsidRDefault="00F40EF2" w:rsidP="00B2315B">
            <w:pPr>
              <w:jc w:val="right"/>
              <w:rPr>
                <w:sz w:val="20"/>
                <w:szCs w:val="20"/>
              </w:rPr>
            </w:pPr>
            <w:r w:rsidRPr="00520C7C">
              <w:rPr>
                <w:sz w:val="20"/>
                <w:szCs w:val="20"/>
              </w:rPr>
              <w:t xml:space="preserve">29.2 (27.3 - </w:t>
            </w:r>
            <w:r w:rsidR="000D5A50" w:rsidRPr="00520C7C">
              <w:rPr>
                <w:sz w:val="20"/>
                <w:szCs w:val="20"/>
              </w:rPr>
              <w:t>33.0)</w:t>
            </w:r>
          </w:p>
        </w:tc>
        <w:tc>
          <w:tcPr>
            <w:tcW w:w="987" w:type="pct"/>
            <w:shd w:val="clear" w:color="auto" w:fill="auto"/>
            <w:vAlign w:val="bottom"/>
          </w:tcPr>
          <w:p w14:paraId="517CB0FC" w14:textId="33AA1A78" w:rsidR="000D5A50" w:rsidRPr="00520C7C" w:rsidRDefault="000D5A50" w:rsidP="00B2315B">
            <w:pPr>
              <w:jc w:val="right"/>
              <w:rPr>
                <w:sz w:val="20"/>
                <w:szCs w:val="20"/>
              </w:rPr>
            </w:pPr>
            <w:r w:rsidRPr="00520C7C">
              <w:rPr>
                <w:sz w:val="20"/>
                <w:szCs w:val="20"/>
              </w:rPr>
              <w:t>29.7</w:t>
            </w:r>
            <w:r w:rsidR="00F40EF2" w:rsidRPr="00520C7C">
              <w:rPr>
                <w:sz w:val="20"/>
                <w:szCs w:val="20"/>
              </w:rPr>
              <w:t xml:space="preserve"> (27.0 – </w:t>
            </w:r>
            <w:r w:rsidRPr="00520C7C">
              <w:rPr>
                <w:sz w:val="20"/>
                <w:szCs w:val="20"/>
              </w:rPr>
              <w:t>33.3)</w:t>
            </w:r>
          </w:p>
        </w:tc>
        <w:tc>
          <w:tcPr>
            <w:tcW w:w="456" w:type="pct"/>
            <w:shd w:val="clear" w:color="auto" w:fill="auto"/>
            <w:vAlign w:val="bottom"/>
          </w:tcPr>
          <w:p w14:paraId="379E8BBD" w14:textId="77777777" w:rsidR="000D5A50" w:rsidRPr="00520C7C" w:rsidRDefault="000D5A50" w:rsidP="00B2315B">
            <w:pPr>
              <w:jc w:val="right"/>
              <w:rPr>
                <w:sz w:val="20"/>
                <w:szCs w:val="20"/>
              </w:rPr>
            </w:pPr>
            <w:r w:rsidRPr="00520C7C">
              <w:rPr>
                <w:sz w:val="20"/>
                <w:szCs w:val="20"/>
              </w:rPr>
              <w:t>-0.454</w:t>
            </w:r>
          </w:p>
        </w:tc>
        <w:tc>
          <w:tcPr>
            <w:tcW w:w="147" w:type="pct"/>
            <w:shd w:val="clear" w:color="auto" w:fill="auto"/>
            <w:vAlign w:val="bottom"/>
          </w:tcPr>
          <w:p w14:paraId="5863A37B" w14:textId="6B96F29B" w:rsidR="000D5A50" w:rsidRPr="00520C7C" w:rsidRDefault="000D5A50" w:rsidP="008A47F4">
            <w:pPr>
              <w:jc w:val="right"/>
              <w:rPr>
                <w:sz w:val="20"/>
                <w:szCs w:val="20"/>
              </w:rPr>
            </w:pPr>
            <w:r w:rsidRPr="00520C7C">
              <w:rPr>
                <w:sz w:val="20"/>
                <w:szCs w:val="20"/>
              </w:rPr>
              <w:t xml:space="preserve"> </w:t>
            </w:r>
          </w:p>
        </w:tc>
        <w:tc>
          <w:tcPr>
            <w:tcW w:w="985" w:type="pct"/>
            <w:shd w:val="clear" w:color="auto" w:fill="auto"/>
            <w:vAlign w:val="bottom"/>
          </w:tcPr>
          <w:p w14:paraId="01838D04" w14:textId="0E392A78" w:rsidR="000D5A50" w:rsidRPr="00520C7C" w:rsidRDefault="00F40EF2" w:rsidP="006169A3">
            <w:pPr>
              <w:rPr>
                <w:sz w:val="20"/>
                <w:szCs w:val="20"/>
              </w:rPr>
            </w:pPr>
            <w:r w:rsidRPr="00520C7C">
              <w:rPr>
                <w:sz w:val="20"/>
                <w:szCs w:val="20"/>
              </w:rPr>
              <w:t xml:space="preserve"> 0.1 </w:t>
            </w:r>
            <w:r w:rsidR="000D5A50" w:rsidRPr="00520C7C">
              <w:rPr>
                <w:sz w:val="20"/>
                <w:szCs w:val="20"/>
              </w:rPr>
              <w:t>(-1.2 - +0.4)</w:t>
            </w:r>
          </w:p>
        </w:tc>
      </w:tr>
      <w:tr w:rsidR="00520C7C" w:rsidRPr="00520C7C" w14:paraId="4E79D937" w14:textId="77777777" w:rsidTr="008A47F4">
        <w:trPr>
          <w:trHeight w:val="284"/>
        </w:trPr>
        <w:tc>
          <w:tcPr>
            <w:tcW w:w="5000" w:type="pct"/>
            <w:gridSpan w:val="6"/>
            <w:shd w:val="clear" w:color="auto" w:fill="auto"/>
            <w:vAlign w:val="bottom"/>
          </w:tcPr>
          <w:p w14:paraId="67B60F67" w14:textId="77777777" w:rsidR="000D5A50" w:rsidRPr="00520C7C" w:rsidRDefault="000D5A50" w:rsidP="00B2315B">
            <w:pPr>
              <w:rPr>
                <w:b/>
                <w:bCs/>
                <w:sz w:val="20"/>
                <w:szCs w:val="20"/>
              </w:rPr>
            </w:pPr>
            <w:r w:rsidRPr="00520C7C">
              <w:rPr>
                <w:b/>
                <w:bCs/>
                <w:sz w:val="20"/>
                <w:szCs w:val="20"/>
              </w:rPr>
              <w:t>Waist circumference (cm)</w:t>
            </w:r>
          </w:p>
        </w:tc>
      </w:tr>
      <w:tr w:rsidR="00520C7C" w:rsidRPr="00520C7C" w14:paraId="63A52F98" w14:textId="77777777" w:rsidTr="008A47F4">
        <w:trPr>
          <w:trHeight w:val="284"/>
        </w:trPr>
        <w:tc>
          <w:tcPr>
            <w:tcW w:w="1363" w:type="pct"/>
            <w:shd w:val="clear" w:color="auto" w:fill="auto"/>
            <w:vAlign w:val="bottom"/>
          </w:tcPr>
          <w:p w14:paraId="338EFFA1" w14:textId="4080FD95" w:rsidR="000D5A50" w:rsidRPr="00520C7C" w:rsidRDefault="00A018D7" w:rsidP="00B2315B">
            <w:pPr>
              <w:rPr>
                <w:sz w:val="20"/>
                <w:szCs w:val="20"/>
              </w:rPr>
            </w:pPr>
            <w:r w:rsidRPr="00520C7C">
              <w:rPr>
                <w:sz w:val="20"/>
                <w:szCs w:val="20"/>
              </w:rPr>
              <w:t>Momenta-</w:t>
            </w:r>
            <w:r w:rsidR="006E1DA5" w:rsidRPr="00520C7C">
              <w:rPr>
                <w:sz w:val="20"/>
                <w:szCs w:val="20"/>
              </w:rPr>
              <w:t xml:space="preserve">fitness </w:t>
            </w:r>
            <w:r w:rsidR="000D5A50" w:rsidRPr="00520C7C">
              <w:rPr>
                <w:sz w:val="20"/>
                <w:szCs w:val="20"/>
              </w:rPr>
              <w:t>(n=35)</w:t>
            </w:r>
          </w:p>
        </w:tc>
        <w:tc>
          <w:tcPr>
            <w:tcW w:w="1062" w:type="pct"/>
            <w:shd w:val="clear" w:color="auto" w:fill="auto"/>
            <w:vAlign w:val="bottom"/>
          </w:tcPr>
          <w:p w14:paraId="0FF18581" w14:textId="77777777" w:rsidR="000D5A50" w:rsidRPr="00520C7C" w:rsidRDefault="000D5A50" w:rsidP="00B2315B">
            <w:pPr>
              <w:jc w:val="right"/>
              <w:rPr>
                <w:sz w:val="20"/>
                <w:szCs w:val="20"/>
              </w:rPr>
            </w:pPr>
            <w:r w:rsidRPr="00520C7C">
              <w:rPr>
                <w:sz w:val="20"/>
                <w:szCs w:val="20"/>
              </w:rPr>
              <w:t>106.0 (98.0 - 115.0)</w:t>
            </w:r>
          </w:p>
        </w:tc>
        <w:tc>
          <w:tcPr>
            <w:tcW w:w="987" w:type="pct"/>
            <w:shd w:val="clear" w:color="auto" w:fill="auto"/>
            <w:vAlign w:val="bottom"/>
          </w:tcPr>
          <w:p w14:paraId="3F9B5A50" w14:textId="5FE78F28" w:rsidR="000D5A50" w:rsidRPr="00520C7C" w:rsidRDefault="000D5A50" w:rsidP="00B2315B">
            <w:pPr>
              <w:jc w:val="right"/>
              <w:rPr>
                <w:sz w:val="20"/>
                <w:szCs w:val="20"/>
              </w:rPr>
            </w:pPr>
            <w:r w:rsidRPr="00520C7C">
              <w:rPr>
                <w:sz w:val="20"/>
                <w:szCs w:val="20"/>
              </w:rPr>
              <w:t>99.0 (93.0 - 110.0)</w:t>
            </w:r>
          </w:p>
        </w:tc>
        <w:tc>
          <w:tcPr>
            <w:tcW w:w="456" w:type="pct"/>
            <w:shd w:val="clear" w:color="auto" w:fill="auto"/>
            <w:vAlign w:val="bottom"/>
          </w:tcPr>
          <w:p w14:paraId="45E48E99" w14:textId="77777777" w:rsidR="000D5A50" w:rsidRPr="00520C7C" w:rsidRDefault="000D5A50" w:rsidP="00B2315B">
            <w:pPr>
              <w:jc w:val="right"/>
              <w:rPr>
                <w:sz w:val="20"/>
                <w:szCs w:val="20"/>
              </w:rPr>
            </w:pPr>
            <w:r w:rsidRPr="00520C7C">
              <w:rPr>
                <w:sz w:val="20"/>
                <w:szCs w:val="20"/>
              </w:rPr>
              <w:t>-4.996</w:t>
            </w:r>
          </w:p>
        </w:tc>
        <w:tc>
          <w:tcPr>
            <w:tcW w:w="147" w:type="pct"/>
            <w:shd w:val="clear" w:color="auto" w:fill="auto"/>
            <w:vAlign w:val="bottom"/>
          </w:tcPr>
          <w:p w14:paraId="6C3F4DC2" w14:textId="53C5DC4E" w:rsidR="000D5A50" w:rsidRPr="00520C7C" w:rsidRDefault="000D5A50" w:rsidP="00B2315B">
            <w:pPr>
              <w:jc w:val="right"/>
              <w:rPr>
                <w:sz w:val="20"/>
                <w:szCs w:val="20"/>
              </w:rPr>
            </w:pPr>
          </w:p>
        </w:tc>
        <w:tc>
          <w:tcPr>
            <w:tcW w:w="985" w:type="pct"/>
            <w:shd w:val="clear" w:color="auto" w:fill="auto"/>
            <w:vAlign w:val="bottom"/>
          </w:tcPr>
          <w:p w14:paraId="539704EF" w14:textId="1579E6E3" w:rsidR="000D5A50" w:rsidRPr="00520C7C" w:rsidRDefault="00F40EF2" w:rsidP="006169A3">
            <w:pPr>
              <w:jc w:val="center"/>
              <w:rPr>
                <w:sz w:val="20"/>
                <w:szCs w:val="20"/>
              </w:rPr>
            </w:pPr>
            <w:r w:rsidRPr="00520C7C">
              <w:rPr>
                <w:sz w:val="20"/>
                <w:szCs w:val="20"/>
              </w:rPr>
              <w:t>-7.0 (-9.5 -</w:t>
            </w:r>
            <w:r w:rsidR="000D5A50" w:rsidRPr="00520C7C">
              <w:rPr>
                <w:sz w:val="20"/>
                <w:szCs w:val="20"/>
              </w:rPr>
              <w:t xml:space="preserve"> -5.0)</w:t>
            </w:r>
          </w:p>
        </w:tc>
      </w:tr>
      <w:tr w:rsidR="00520C7C" w:rsidRPr="00520C7C" w14:paraId="3C0F39DD" w14:textId="77777777" w:rsidTr="008A47F4">
        <w:trPr>
          <w:trHeight w:val="284"/>
        </w:trPr>
        <w:tc>
          <w:tcPr>
            <w:tcW w:w="1363" w:type="pct"/>
            <w:shd w:val="clear" w:color="auto" w:fill="auto"/>
            <w:vAlign w:val="bottom"/>
          </w:tcPr>
          <w:p w14:paraId="531FD433" w14:textId="77777777" w:rsidR="000D5A50" w:rsidRPr="00520C7C" w:rsidRDefault="000D5A50" w:rsidP="00B2315B">
            <w:pPr>
              <w:rPr>
                <w:sz w:val="20"/>
                <w:szCs w:val="20"/>
              </w:rPr>
            </w:pPr>
            <w:r w:rsidRPr="00520C7C">
              <w:rPr>
                <w:sz w:val="20"/>
                <w:szCs w:val="20"/>
              </w:rPr>
              <w:t>Momenta only (n=25)</w:t>
            </w:r>
          </w:p>
        </w:tc>
        <w:tc>
          <w:tcPr>
            <w:tcW w:w="1062" w:type="pct"/>
            <w:shd w:val="clear" w:color="auto" w:fill="auto"/>
            <w:vAlign w:val="bottom"/>
          </w:tcPr>
          <w:p w14:paraId="071C9DA5" w14:textId="77777777" w:rsidR="000D5A50" w:rsidRPr="00520C7C" w:rsidRDefault="000D5A50" w:rsidP="00B2315B">
            <w:pPr>
              <w:jc w:val="right"/>
              <w:rPr>
                <w:sz w:val="20"/>
                <w:szCs w:val="20"/>
              </w:rPr>
            </w:pPr>
            <w:r w:rsidRPr="00520C7C">
              <w:rPr>
                <w:sz w:val="20"/>
                <w:szCs w:val="20"/>
              </w:rPr>
              <w:t>108.0 (99.5 - 114.5)</w:t>
            </w:r>
          </w:p>
        </w:tc>
        <w:tc>
          <w:tcPr>
            <w:tcW w:w="987" w:type="pct"/>
            <w:shd w:val="clear" w:color="auto" w:fill="auto"/>
            <w:vAlign w:val="bottom"/>
          </w:tcPr>
          <w:p w14:paraId="6FD872BE" w14:textId="77777777" w:rsidR="000D5A50" w:rsidRPr="00520C7C" w:rsidRDefault="000D5A50" w:rsidP="00B2315B">
            <w:pPr>
              <w:jc w:val="right"/>
              <w:rPr>
                <w:sz w:val="20"/>
                <w:szCs w:val="20"/>
              </w:rPr>
            </w:pPr>
            <w:r w:rsidRPr="00520C7C">
              <w:rPr>
                <w:sz w:val="20"/>
                <w:szCs w:val="20"/>
              </w:rPr>
              <w:t>101.0 (93.8 - 111.5)</w:t>
            </w:r>
          </w:p>
        </w:tc>
        <w:tc>
          <w:tcPr>
            <w:tcW w:w="456" w:type="pct"/>
            <w:shd w:val="clear" w:color="auto" w:fill="auto"/>
            <w:vAlign w:val="bottom"/>
          </w:tcPr>
          <w:p w14:paraId="5DB6DEE1" w14:textId="77777777" w:rsidR="000D5A50" w:rsidRPr="00520C7C" w:rsidRDefault="000D5A50" w:rsidP="00B2315B">
            <w:pPr>
              <w:jc w:val="right"/>
              <w:rPr>
                <w:sz w:val="20"/>
                <w:szCs w:val="20"/>
              </w:rPr>
            </w:pPr>
            <w:r w:rsidRPr="00520C7C">
              <w:rPr>
                <w:sz w:val="20"/>
                <w:szCs w:val="20"/>
              </w:rPr>
              <w:t>-4.166</w:t>
            </w:r>
          </w:p>
        </w:tc>
        <w:tc>
          <w:tcPr>
            <w:tcW w:w="147" w:type="pct"/>
            <w:shd w:val="clear" w:color="auto" w:fill="auto"/>
            <w:vAlign w:val="bottom"/>
          </w:tcPr>
          <w:p w14:paraId="4B914151" w14:textId="705C6892" w:rsidR="000D5A50" w:rsidRPr="00520C7C" w:rsidRDefault="000D5A50" w:rsidP="00B2315B">
            <w:pPr>
              <w:jc w:val="right"/>
              <w:rPr>
                <w:sz w:val="20"/>
                <w:szCs w:val="20"/>
              </w:rPr>
            </w:pPr>
          </w:p>
        </w:tc>
        <w:tc>
          <w:tcPr>
            <w:tcW w:w="985" w:type="pct"/>
            <w:shd w:val="clear" w:color="auto" w:fill="auto"/>
            <w:vAlign w:val="bottom"/>
          </w:tcPr>
          <w:p w14:paraId="1E83A9A1" w14:textId="2D363614" w:rsidR="000D5A50" w:rsidRPr="00520C7C" w:rsidRDefault="00F40EF2" w:rsidP="006169A3">
            <w:pPr>
              <w:jc w:val="center"/>
              <w:rPr>
                <w:sz w:val="20"/>
                <w:szCs w:val="20"/>
              </w:rPr>
            </w:pPr>
            <w:r w:rsidRPr="00520C7C">
              <w:rPr>
                <w:sz w:val="20"/>
                <w:szCs w:val="20"/>
              </w:rPr>
              <w:t xml:space="preserve">-5.0 (-7.3 - </w:t>
            </w:r>
            <w:r w:rsidR="000D5A50" w:rsidRPr="00520C7C">
              <w:rPr>
                <w:sz w:val="20"/>
                <w:szCs w:val="20"/>
              </w:rPr>
              <w:t>-2.5)</w:t>
            </w:r>
          </w:p>
        </w:tc>
      </w:tr>
      <w:tr w:rsidR="00520C7C" w:rsidRPr="00520C7C" w14:paraId="09002DD3" w14:textId="77777777" w:rsidTr="008A47F4">
        <w:trPr>
          <w:trHeight w:val="284"/>
        </w:trPr>
        <w:tc>
          <w:tcPr>
            <w:tcW w:w="1363" w:type="pct"/>
            <w:shd w:val="clear" w:color="auto" w:fill="auto"/>
            <w:vAlign w:val="bottom"/>
          </w:tcPr>
          <w:p w14:paraId="2F2BABDA" w14:textId="255B6EC9" w:rsidR="000D5A50" w:rsidRPr="00520C7C" w:rsidRDefault="006E1DA5" w:rsidP="00B2315B">
            <w:pPr>
              <w:rPr>
                <w:sz w:val="20"/>
                <w:szCs w:val="20"/>
              </w:rPr>
            </w:pPr>
            <w:r w:rsidRPr="00520C7C">
              <w:rPr>
                <w:sz w:val="20"/>
                <w:szCs w:val="20"/>
              </w:rPr>
              <w:t xml:space="preserve">Fitness </w:t>
            </w:r>
            <w:r w:rsidR="000D5A50" w:rsidRPr="00520C7C">
              <w:rPr>
                <w:sz w:val="20"/>
                <w:szCs w:val="20"/>
              </w:rPr>
              <w:t>only (n=11)</w:t>
            </w:r>
          </w:p>
        </w:tc>
        <w:tc>
          <w:tcPr>
            <w:tcW w:w="1062" w:type="pct"/>
            <w:shd w:val="clear" w:color="auto" w:fill="auto"/>
            <w:vAlign w:val="bottom"/>
          </w:tcPr>
          <w:p w14:paraId="396C987F" w14:textId="0CDAC60A" w:rsidR="000D5A50" w:rsidRPr="00520C7C" w:rsidRDefault="00F40EF2" w:rsidP="00B2315B">
            <w:pPr>
              <w:jc w:val="right"/>
              <w:rPr>
                <w:sz w:val="20"/>
                <w:szCs w:val="20"/>
              </w:rPr>
            </w:pPr>
            <w:r w:rsidRPr="00520C7C">
              <w:rPr>
                <w:sz w:val="20"/>
                <w:szCs w:val="20"/>
              </w:rPr>
              <w:t xml:space="preserve">90.0 (87.0 – </w:t>
            </w:r>
            <w:r w:rsidR="000D5A50" w:rsidRPr="00520C7C">
              <w:rPr>
                <w:sz w:val="20"/>
                <w:szCs w:val="20"/>
              </w:rPr>
              <w:t>95.0)</w:t>
            </w:r>
          </w:p>
        </w:tc>
        <w:tc>
          <w:tcPr>
            <w:tcW w:w="987" w:type="pct"/>
            <w:shd w:val="clear" w:color="auto" w:fill="auto"/>
            <w:vAlign w:val="bottom"/>
          </w:tcPr>
          <w:p w14:paraId="162312DC" w14:textId="7FCC8D40" w:rsidR="000D5A50" w:rsidRPr="00520C7C" w:rsidRDefault="000D5A50" w:rsidP="00B2315B">
            <w:pPr>
              <w:jc w:val="right"/>
              <w:rPr>
                <w:sz w:val="20"/>
                <w:szCs w:val="20"/>
              </w:rPr>
            </w:pPr>
            <w:r w:rsidRPr="00520C7C">
              <w:rPr>
                <w:sz w:val="20"/>
                <w:szCs w:val="20"/>
              </w:rPr>
              <w:t>91.0 (90.0 -   96.0)</w:t>
            </w:r>
          </w:p>
        </w:tc>
        <w:tc>
          <w:tcPr>
            <w:tcW w:w="456" w:type="pct"/>
            <w:shd w:val="clear" w:color="auto" w:fill="auto"/>
            <w:vAlign w:val="bottom"/>
          </w:tcPr>
          <w:p w14:paraId="5A9749C7" w14:textId="1FEA5484" w:rsidR="000D5A50" w:rsidRPr="00520C7C" w:rsidRDefault="000D5A50" w:rsidP="00B2315B">
            <w:pPr>
              <w:jc w:val="right"/>
              <w:rPr>
                <w:sz w:val="20"/>
                <w:szCs w:val="20"/>
              </w:rPr>
            </w:pPr>
            <w:r w:rsidRPr="00520C7C">
              <w:rPr>
                <w:sz w:val="20"/>
                <w:szCs w:val="20"/>
              </w:rPr>
              <w:t>0.358</w:t>
            </w:r>
          </w:p>
        </w:tc>
        <w:tc>
          <w:tcPr>
            <w:tcW w:w="147" w:type="pct"/>
            <w:shd w:val="clear" w:color="auto" w:fill="auto"/>
            <w:vAlign w:val="bottom"/>
          </w:tcPr>
          <w:p w14:paraId="78F6388C" w14:textId="646BC1DC" w:rsidR="000D5A50" w:rsidRPr="00520C7C" w:rsidRDefault="000D5A50" w:rsidP="008A47F4">
            <w:pPr>
              <w:jc w:val="right"/>
              <w:rPr>
                <w:sz w:val="20"/>
                <w:szCs w:val="20"/>
              </w:rPr>
            </w:pPr>
            <w:r w:rsidRPr="00520C7C">
              <w:rPr>
                <w:sz w:val="20"/>
                <w:szCs w:val="20"/>
              </w:rPr>
              <w:t xml:space="preserve"> </w:t>
            </w:r>
          </w:p>
        </w:tc>
        <w:tc>
          <w:tcPr>
            <w:tcW w:w="985" w:type="pct"/>
            <w:shd w:val="clear" w:color="auto" w:fill="auto"/>
            <w:vAlign w:val="bottom"/>
          </w:tcPr>
          <w:p w14:paraId="18E44A39" w14:textId="30191859" w:rsidR="000D5A50" w:rsidRPr="00520C7C" w:rsidRDefault="00F40EF2" w:rsidP="006169A3">
            <w:pPr>
              <w:jc w:val="center"/>
              <w:rPr>
                <w:sz w:val="20"/>
                <w:szCs w:val="20"/>
              </w:rPr>
            </w:pPr>
            <w:r w:rsidRPr="00520C7C">
              <w:rPr>
                <w:sz w:val="20"/>
                <w:szCs w:val="20"/>
              </w:rPr>
              <w:t xml:space="preserve">1.0 (-3.0 - </w:t>
            </w:r>
            <w:r w:rsidR="000D5A50" w:rsidRPr="00520C7C">
              <w:rPr>
                <w:sz w:val="20"/>
                <w:szCs w:val="20"/>
              </w:rPr>
              <w:t>3.0)</w:t>
            </w:r>
          </w:p>
        </w:tc>
      </w:tr>
      <w:tr w:rsidR="00520C7C" w:rsidRPr="00520C7C" w14:paraId="17E6895E" w14:textId="77777777" w:rsidTr="008A47F4">
        <w:trPr>
          <w:trHeight w:val="284"/>
        </w:trPr>
        <w:tc>
          <w:tcPr>
            <w:tcW w:w="1363" w:type="pct"/>
            <w:shd w:val="clear" w:color="auto" w:fill="auto"/>
            <w:vAlign w:val="bottom"/>
          </w:tcPr>
          <w:p w14:paraId="256537FC" w14:textId="77777777" w:rsidR="0064465A" w:rsidRPr="00520C7C" w:rsidRDefault="0064465A" w:rsidP="00B2315B">
            <w:pPr>
              <w:rPr>
                <w:sz w:val="20"/>
                <w:szCs w:val="20"/>
              </w:rPr>
            </w:pPr>
          </w:p>
        </w:tc>
        <w:tc>
          <w:tcPr>
            <w:tcW w:w="1062" w:type="pct"/>
            <w:shd w:val="clear" w:color="auto" w:fill="auto"/>
            <w:vAlign w:val="bottom"/>
          </w:tcPr>
          <w:p w14:paraId="3721788B" w14:textId="77777777" w:rsidR="0064465A" w:rsidRPr="00520C7C" w:rsidRDefault="0064465A" w:rsidP="00B2315B">
            <w:pPr>
              <w:rPr>
                <w:sz w:val="20"/>
                <w:szCs w:val="20"/>
              </w:rPr>
            </w:pPr>
          </w:p>
        </w:tc>
        <w:tc>
          <w:tcPr>
            <w:tcW w:w="987" w:type="pct"/>
            <w:shd w:val="clear" w:color="auto" w:fill="auto"/>
            <w:vAlign w:val="bottom"/>
          </w:tcPr>
          <w:p w14:paraId="1A1A369A" w14:textId="77777777" w:rsidR="0064465A" w:rsidRPr="00520C7C" w:rsidRDefault="0064465A" w:rsidP="00B2315B">
            <w:pPr>
              <w:rPr>
                <w:sz w:val="20"/>
                <w:szCs w:val="20"/>
              </w:rPr>
            </w:pPr>
          </w:p>
        </w:tc>
        <w:tc>
          <w:tcPr>
            <w:tcW w:w="456" w:type="pct"/>
            <w:shd w:val="clear" w:color="auto" w:fill="auto"/>
            <w:vAlign w:val="bottom"/>
          </w:tcPr>
          <w:p w14:paraId="7AAD7E12" w14:textId="77777777" w:rsidR="0064465A" w:rsidRPr="00520C7C" w:rsidRDefault="0064465A" w:rsidP="00B2315B">
            <w:pPr>
              <w:rPr>
                <w:sz w:val="20"/>
                <w:szCs w:val="20"/>
              </w:rPr>
            </w:pPr>
          </w:p>
        </w:tc>
        <w:tc>
          <w:tcPr>
            <w:tcW w:w="147" w:type="pct"/>
            <w:shd w:val="clear" w:color="auto" w:fill="auto"/>
            <w:vAlign w:val="bottom"/>
          </w:tcPr>
          <w:p w14:paraId="6CCA675B" w14:textId="77777777" w:rsidR="0064465A" w:rsidRPr="00520C7C" w:rsidRDefault="0064465A" w:rsidP="00B2315B">
            <w:pPr>
              <w:rPr>
                <w:sz w:val="20"/>
                <w:szCs w:val="20"/>
              </w:rPr>
            </w:pPr>
          </w:p>
        </w:tc>
        <w:tc>
          <w:tcPr>
            <w:tcW w:w="985" w:type="pct"/>
            <w:shd w:val="clear" w:color="auto" w:fill="auto"/>
            <w:vAlign w:val="bottom"/>
          </w:tcPr>
          <w:p w14:paraId="2BEC00C6" w14:textId="77777777" w:rsidR="0064465A" w:rsidRPr="00520C7C" w:rsidRDefault="0064465A" w:rsidP="00B2315B">
            <w:pPr>
              <w:rPr>
                <w:sz w:val="20"/>
                <w:szCs w:val="20"/>
              </w:rPr>
            </w:pPr>
          </w:p>
        </w:tc>
      </w:tr>
      <w:tr w:rsidR="00520C7C" w:rsidRPr="00520C7C" w14:paraId="1C864245" w14:textId="77777777" w:rsidTr="008A47F4">
        <w:trPr>
          <w:trHeight w:val="284"/>
        </w:trPr>
        <w:tc>
          <w:tcPr>
            <w:tcW w:w="1363" w:type="pct"/>
            <w:shd w:val="clear" w:color="auto" w:fill="EEECE1" w:themeFill="background2"/>
            <w:vAlign w:val="bottom"/>
          </w:tcPr>
          <w:p w14:paraId="66EAA535" w14:textId="5F3E2FBB" w:rsidR="000D5A50" w:rsidRPr="00520C7C" w:rsidRDefault="008C16BB" w:rsidP="00B2315B">
            <w:pPr>
              <w:rPr>
                <w:b/>
                <w:sz w:val="20"/>
                <w:szCs w:val="20"/>
              </w:rPr>
            </w:pPr>
            <w:r w:rsidRPr="00520C7C">
              <w:rPr>
                <w:b/>
                <w:sz w:val="20"/>
                <w:szCs w:val="20"/>
              </w:rPr>
              <w:t>52-week</w:t>
            </w:r>
            <w:r w:rsidR="000D5A50" w:rsidRPr="00520C7C">
              <w:rPr>
                <w:b/>
                <w:sz w:val="20"/>
                <w:szCs w:val="20"/>
              </w:rPr>
              <w:t xml:space="preserve"> </w:t>
            </w:r>
            <w:r w:rsidR="009E1F61" w:rsidRPr="00520C7C">
              <w:rPr>
                <w:b/>
                <w:sz w:val="20"/>
                <w:szCs w:val="20"/>
              </w:rPr>
              <w:t>follow-up</w:t>
            </w:r>
          </w:p>
        </w:tc>
        <w:tc>
          <w:tcPr>
            <w:tcW w:w="1062" w:type="pct"/>
            <w:shd w:val="clear" w:color="auto" w:fill="EEECE1" w:themeFill="background2"/>
            <w:vAlign w:val="bottom"/>
          </w:tcPr>
          <w:p w14:paraId="4F56EE16" w14:textId="0D7B1088" w:rsidR="000D5A50" w:rsidRPr="00520C7C" w:rsidRDefault="000D5A50" w:rsidP="00B2315B">
            <w:pPr>
              <w:rPr>
                <w:b/>
                <w:sz w:val="20"/>
                <w:szCs w:val="20"/>
              </w:rPr>
            </w:pPr>
            <w:r w:rsidRPr="00520C7C">
              <w:rPr>
                <w:b/>
                <w:sz w:val="20"/>
                <w:szCs w:val="20"/>
              </w:rPr>
              <w:t>Median (IQR)</w:t>
            </w:r>
          </w:p>
          <w:p w14:paraId="52D0CCE0" w14:textId="77777777" w:rsidR="000D5A50" w:rsidRPr="00520C7C" w:rsidRDefault="000D5A50" w:rsidP="00B2315B">
            <w:pPr>
              <w:rPr>
                <w:b/>
                <w:sz w:val="20"/>
                <w:szCs w:val="20"/>
              </w:rPr>
            </w:pPr>
            <w:r w:rsidRPr="00520C7C">
              <w:rPr>
                <w:b/>
                <w:sz w:val="20"/>
                <w:szCs w:val="20"/>
              </w:rPr>
              <w:t>Baseline</w:t>
            </w:r>
          </w:p>
        </w:tc>
        <w:tc>
          <w:tcPr>
            <w:tcW w:w="987" w:type="pct"/>
            <w:shd w:val="clear" w:color="auto" w:fill="EEECE1" w:themeFill="background2"/>
            <w:vAlign w:val="bottom"/>
          </w:tcPr>
          <w:p w14:paraId="6D5D5C2C" w14:textId="4535EBC7" w:rsidR="000D5A50" w:rsidRPr="00520C7C" w:rsidRDefault="000D5A50" w:rsidP="00B2315B">
            <w:pPr>
              <w:rPr>
                <w:b/>
                <w:sz w:val="20"/>
                <w:szCs w:val="20"/>
              </w:rPr>
            </w:pPr>
            <w:r w:rsidRPr="00520C7C">
              <w:rPr>
                <w:b/>
                <w:sz w:val="20"/>
                <w:szCs w:val="20"/>
              </w:rPr>
              <w:t>Median (IQR)</w:t>
            </w:r>
          </w:p>
          <w:p w14:paraId="2F50996C" w14:textId="0E65A1EA" w:rsidR="000D5A50" w:rsidRPr="00520C7C" w:rsidRDefault="00272532" w:rsidP="00B2315B">
            <w:pPr>
              <w:rPr>
                <w:b/>
                <w:sz w:val="20"/>
                <w:szCs w:val="20"/>
              </w:rPr>
            </w:pPr>
            <w:r w:rsidRPr="00520C7C">
              <w:rPr>
                <w:b/>
                <w:sz w:val="20"/>
                <w:szCs w:val="20"/>
              </w:rPr>
              <w:t>52 weeks</w:t>
            </w:r>
            <w:r w:rsidR="00EE10A7" w:rsidRPr="00520C7C">
              <w:rPr>
                <w:b/>
                <w:sz w:val="20"/>
                <w:szCs w:val="20"/>
              </w:rPr>
              <w:t xml:space="preserve"> </w:t>
            </w:r>
          </w:p>
        </w:tc>
        <w:tc>
          <w:tcPr>
            <w:tcW w:w="456" w:type="pct"/>
            <w:shd w:val="clear" w:color="auto" w:fill="EEECE1" w:themeFill="background2"/>
            <w:vAlign w:val="bottom"/>
          </w:tcPr>
          <w:p w14:paraId="421A9B3A" w14:textId="4807392E" w:rsidR="000D5A50" w:rsidRPr="00520C7C" w:rsidRDefault="000D5A50" w:rsidP="00B2315B">
            <w:pPr>
              <w:rPr>
                <w:b/>
                <w:sz w:val="20"/>
                <w:szCs w:val="20"/>
              </w:rPr>
            </w:pPr>
            <w:r w:rsidRPr="00520C7C">
              <w:rPr>
                <w:b/>
                <w:sz w:val="20"/>
                <w:szCs w:val="20"/>
              </w:rPr>
              <w:t>z</w:t>
            </w:r>
          </w:p>
        </w:tc>
        <w:tc>
          <w:tcPr>
            <w:tcW w:w="147" w:type="pct"/>
            <w:shd w:val="clear" w:color="auto" w:fill="EEECE1" w:themeFill="background2"/>
            <w:vAlign w:val="bottom"/>
          </w:tcPr>
          <w:p w14:paraId="11C1D57E" w14:textId="0DE19A87" w:rsidR="000D5A50" w:rsidRPr="00520C7C" w:rsidRDefault="000D5A50" w:rsidP="00B2315B">
            <w:pPr>
              <w:rPr>
                <w:b/>
                <w:sz w:val="20"/>
                <w:szCs w:val="20"/>
              </w:rPr>
            </w:pPr>
          </w:p>
        </w:tc>
        <w:tc>
          <w:tcPr>
            <w:tcW w:w="985" w:type="pct"/>
            <w:shd w:val="clear" w:color="auto" w:fill="EEECE1" w:themeFill="background2"/>
            <w:vAlign w:val="bottom"/>
          </w:tcPr>
          <w:p w14:paraId="37AFA61D" w14:textId="40A2F7E0" w:rsidR="000D5A50" w:rsidRPr="00520C7C" w:rsidRDefault="000D5A50" w:rsidP="00B2315B">
            <w:pPr>
              <w:rPr>
                <w:b/>
                <w:sz w:val="20"/>
                <w:szCs w:val="20"/>
              </w:rPr>
            </w:pPr>
            <w:r w:rsidRPr="00520C7C">
              <w:rPr>
                <w:b/>
                <w:sz w:val="20"/>
                <w:szCs w:val="20"/>
              </w:rPr>
              <w:t>Median (IQR)</w:t>
            </w:r>
          </w:p>
          <w:p w14:paraId="5427F8F2" w14:textId="6884756F" w:rsidR="000D5A50" w:rsidRPr="00520C7C" w:rsidRDefault="000D5A50" w:rsidP="00B2315B">
            <w:pPr>
              <w:rPr>
                <w:b/>
                <w:sz w:val="20"/>
                <w:szCs w:val="20"/>
              </w:rPr>
            </w:pPr>
            <w:r w:rsidRPr="00520C7C">
              <w:rPr>
                <w:b/>
                <w:sz w:val="20"/>
                <w:szCs w:val="20"/>
              </w:rPr>
              <w:t xml:space="preserve">Change </w:t>
            </w:r>
          </w:p>
        </w:tc>
      </w:tr>
      <w:tr w:rsidR="00520C7C" w:rsidRPr="00520C7C" w14:paraId="20D25227" w14:textId="77777777" w:rsidTr="008A47F4">
        <w:trPr>
          <w:trHeight w:val="284"/>
        </w:trPr>
        <w:tc>
          <w:tcPr>
            <w:tcW w:w="5000" w:type="pct"/>
            <w:gridSpan w:val="6"/>
            <w:shd w:val="clear" w:color="auto" w:fill="auto"/>
            <w:vAlign w:val="bottom"/>
          </w:tcPr>
          <w:p w14:paraId="65A90930" w14:textId="77777777" w:rsidR="000D5A50" w:rsidRPr="00520C7C" w:rsidRDefault="000D5A50" w:rsidP="00B2315B">
            <w:pPr>
              <w:rPr>
                <w:b/>
                <w:sz w:val="20"/>
                <w:szCs w:val="20"/>
              </w:rPr>
            </w:pPr>
            <w:r w:rsidRPr="00520C7C">
              <w:rPr>
                <w:b/>
                <w:sz w:val="20"/>
                <w:szCs w:val="20"/>
              </w:rPr>
              <w:t>Weight (kg)</w:t>
            </w:r>
          </w:p>
        </w:tc>
      </w:tr>
      <w:tr w:rsidR="00520C7C" w:rsidRPr="00520C7C" w14:paraId="4C4ADF83" w14:textId="77777777" w:rsidTr="008A47F4">
        <w:trPr>
          <w:trHeight w:val="284"/>
        </w:trPr>
        <w:tc>
          <w:tcPr>
            <w:tcW w:w="1363" w:type="pct"/>
            <w:shd w:val="clear" w:color="auto" w:fill="auto"/>
            <w:vAlign w:val="bottom"/>
          </w:tcPr>
          <w:p w14:paraId="3FA6623B" w14:textId="09A11D00" w:rsidR="000D5A50" w:rsidRPr="00520C7C" w:rsidRDefault="00A018D7" w:rsidP="00A018D7">
            <w:pPr>
              <w:rPr>
                <w:sz w:val="20"/>
                <w:szCs w:val="20"/>
              </w:rPr>
            </w:pPr>
            <w:r w:rsidRPr="00520C7C">
              <w:rPr>
                <w:sz w:val="20"/>
                <w:szCs w:val="20"/>
              </w:rPr>
              <w:t>Momenta-F</w:t>
            </w:r>
            <w:r w:rsidR="006E1DA5" w:rsidRPr="00520C7C">
              <w:rPr>
                <w:sz w:val="20"/>
                <w:szCs w:val="20"/>
              </w:rPr>
              <w:t xml:space="preserve">itness </w:t>
            </w:r>
            <w:r w:rsidR="000D5A50" w:rsidRPr="00520C7C">
              <w:rPr>
                <w:sz w:val="20"/>
                <w:szCs w:val="20"/>
              </w:rPr>
              <w:t>(n=18)</w:t>
            </w:r>
          </w:p>
        </w:tc>
        <w:tc>
          <w:tcPr>
            <w:tcW w:w="1062" w:type="pct"/>
            <w:shd w:val="clear" w:color="auto" w:fill="auto"/>
            <w:vAlign w:val="bottom"/>
          </w:tcPr>
          <w:p w14:paraId="6D1356E2" w14:textId="77777777" w:rsidR="000D5A50" w:rsidRPr="00520C7C" w:rsidRDefault="000D5A50" w:rsidP="00B2315B">
            <w:pPr>
              <w:jc w:val="right"/>
              <w:rPr>
                <w:sz w:val="20"/>
                <w:szCs w:val="20"/>
              </w:rPr>
            </w:pPr>
            <w:r w:rsidRPr="00520C7C">
              <w:rPr>
                <w:sz w:val="20"/>
                <w:szCs w:val="20"/>
              </w:rPr>
              <w:t>95.2 (87.1 - 101.4)</w:t>
            </w:r>
          </w:p>
        </w:tc>
        <w:tc>
          <w:tcPr>
            <w:tcW w:w="987" w:type="pct"/>
            <w:shd w:val="clear" w:color="auto" w:fill="auto"/>
            <w:vAlign w:val="bottom"/>
          </w:tcPr>
          <w:p w14:paraId="19F91A0F" w14:textId="6796E365" w:rsidR="000D5A50" w:rsidRPr="00520C7C" w:rsidRDefault="000D5A50" w:rsidP="00B2315B">
            <w:pPr>
              <w:jc w:val="right"/>
              <w:rPr>
                <w:sz w:val="20"/>
                <w:szCs w:val="20"/>
              </w:rPr>
            </w:pPr>
            <w:r w:rsidRPr="00520C7C">
              <w:rPr>
                <w:sz w:val="20"/>
                <w:szCs w:val="20"/>
              </w:rPr>
              <w:t>91.4 (82.7 - 95.9)</w:t>
            </w:r>
          </w:p>
        </w:tc>
        <w:tc>
          <w:tcPr>
            <w:tcW w:w="456" w:type="pct"/>
            <w:shd w:val="clear" w:color="auto" w:fill="auto"/>
            <w:vAlign w:val="bottom"/>
          </w:tcPr>
          <w:p w14:paraId="046971F7" w14:textId="77777777" w:rsidR="000D5A50" w:rsidRPr="00520C7C" w:rsidRDefault="000D5A50" w:rsidP="00B2315B">
            <w:pPr>
              <w:jc w:val="right"/>
              <w:rPr>
                <w:sz w:val="20"/>
                <w:szCs w:val="20"/>
              </w:rPr>
            </w:pPr>
            <w:r w:rsidRPr="00520C7C">
              <w:rPr>
                <w:sz w:val="20"/>
                <w:szCs w:val="20"/>
              </w:rPr>
              <w:t>-3.006</w:t>
            </w:r>
          </w:p>
        </w:tc>
        <w:tc>
          <w:tcPr>
            <w:tcW w:w="147" w:type="pct"/>
            <w:shd w:val="clear" w:color="auto" w:fill="auto"/>
            <w:vAlign w:val="bottom"/>
          </w:tcPr>
          <w:p w14:paraId="5C45D344" w14:textId="2542DA4A" w:rsidR="000D5A50" w:rsidRPr="00520C7C" w:rsidRDefault="000D5A50" w:rsidP="00B2315B">
            <w:pPr>
              <w:jc w:val="right"/>
              <w:rPr>
                <w:sz w:val="20"/>
                <w:szCs w:val="20"/>
              </w:rPr>
            </w:pPr>
          </w:p>
        </w:tc>
        <w:tc>
          <w:tcPr>
            <w:tcW w:w="985" w:type="pct"/>
            <w:shd w:val="clear" w:color="auto" w:fill="auto"/>
            <w:vAlign w:val="bottom"/>
          </w:tcPr>
          <w:p w14:paraId="7DC6BCEE" w14:textId="21EB3E1A" w:rsidR="000D5A50" w:rsidRPr="00520C7C" w:rsidRDefault="0049100A" w:rsidP="006169A3">
            <w:pPr>
              <w:rPr>
                <w:sz w:val="20"/>
                <w:szCs w:val="20"/>
              </w:rPr>
            </w:pPr>
            <w:r w:rsidRPr="00520C7C">
              <w:rPr>
                <w:sz w:val="20"/>
                <w:szCs w:val="20"/>
              </w:rPr>
              <w:t xml:space="preserve">-4.8 (-6.2 - </w:t>
            </w:r>
            <w:r w:rsidR="000D5A50" w:rsidRPr="00520C7C">
              <w:rPr>
                <w:sz w:val="20"/>
                <w:szCs w:val="20"/>
              </w:rPr>
              <w:t>-1.5)</w:t>
            </w:r>
          </w:p>
        </w:tc>
      </w:tr>
      <w:tr w:rsidR="00520C7C" w:rsidRPr="00520C7C" w14:paraId="36B45529" w14:textId="77777777" w:rsidTr="008A47F4">
        <w:trPr>
          <w:trHeight w:val="284"/>
        </w:trPr>
        <w:tc>
          <w:tcPr>
            <w:tcW w:w="1363" w:type="pct"/>
            <w:shd w:val="clear" w:color="auto" w:fill="auto"/>
            <w:vAlign w:val="bottom"/>
          </w:tcPr>
          <w:p w14:paraId="6F6D718A" w14:textId="77777777" w:rsidR="000D5A50" w:rsidRPr="00520C7C" w:rsidRDefault="000D5A50" w:rsidP="00B2315B">
            <w:pPr>
              <w:rPr>
                <w:sz w:val="20"/>
                <w:szCs w:val="20"/>
              </w:rPr>
            </w:pPr>
            <w:r w:rsidRPr="00520C7C">
              <w:rPr>
                <w:sz w:val="20"/>
                <w:szCs w:val="20"/>
              </w:rPr>
              <w:t>Momenta only (n=16)</w:t>
            </w:r>
          </w:p>
        </w:tc>
        <w:tc>
          <w:tcPr>
            <w:tcW w:w="1062" w:type="pct"/>
            <w:shd w:val="clear" w:color="auto" w:fill="auto"/>
            <w:vAlign w:val="bottom"/>
          </w:tcPr>
          <w:p w14:paraId="54A9A9E0" w14:textId="77777777" w:rsidR="000D5A50" w:rsidRPr="00520C7C" w:rsidRDefault="000D5A50" w:rsidP="00B2315B">
            <w:pPr>
              <w:jc w:val="right"/>
              <w:rPr>
                <w:sz w:val="20"/>
                <w:szCs w:val="20"/>
              </w:rPr>
            </w:pPr>
            <w:r w:rsidRPr="00520C7C">
              <w:rPr>
                <w:sz w:val="20"/>
                <w:szCs w:val="20"/>
              </w:rPr>
              <w:t>84.7 (72.3 - 95.2)</w:t>
            </w:r>
          </w:p>
        </w:tc>
        <w:tc>
          <w:tcPr>
            <w:tcW w:w="987" w:type="pct"/>
            <w:shd w:val="clear" w:color="auto" w:fill="auto"/>
            <w:vAlign w:val="bottom"/>
          </w:tcPr>
          <w:p w14:paraId="0BE6E233" w14:textId="23DE08A2" w:rsidR="000D5A50" w:rsidRPr="00520C7C" w:rsidRDefault="000D5A50" w:rsidP="00B2315B">
            <w:pPr>
              <w:jc w:val="right"/>
              <w:rPr>
                <w:sz w:val="20"/>
                <w:szCs w:val="20"/>
              </w:rPr>
            </w:pPr>
            <w:r w:rsidRPr="00520C7C">
              <w:rPr>
                <w:sz w:val="20"/>
                <w:szCs w:val="20"/>
              </w:rPr>
              <w:t>82.7 (73.2 - 94.6)</w:t>
            </w:r>
          </w:p>
        </w:tc>
        <w:tc>
          <w:tcPr>
            <w:tcW w:w="456" w:type="pct"/>
            <w:shd w:val="clear" w:color="auto" w:fill="auto"/>
            <w:vAlign w:val="bottom"/>
          </w:tcPr>
          <w:p w14:paraId="3380809D" w14:textId="77777777" w:rsidR="000D5A50" w:rsidRPr="00520C7C" w:rsidRDefault="000D5A50" w:rsidP="00B2315B">
            <w:pPr>
              <w:jc w:val="right"/>
              <w:rPr>
                <w:sz w:val="20"/>
                <w:szCs w:val="20"/>
              </w:rPr>
            </w:pPr>
            <w:r w:rsidRPr="00520C7C">
              <w:rPr>
                <w:sz w:val="20"/>
                <w:szCs w:val="20"/>
              </w:rPr>
              <w:t>-1.533</w:t>
            </w:r>
          </w:p>
        </w:tc>
        <w:tc>
          <w:tcPr>
            <w:tcW w:w="147" w:type="pct"/>
            <w:shd w:val="clear" w:color="auto" w:fill="auto"/>
            <w:vAlign w:val="bottom"/>
          </w:tcPr>
          <w:p w14:paraId="63D2E8D1" w14:textId="05806B4C" w:rsidR="000D5A50" w:rsidRPr="00520C7C" w:rsidRDefault="000D5A50" w:rsidP="00B2315B">
            <w:pPr>
              <w:jc w:val="right"/>
              <w:rPr>
                <w:sz w:val="20"/>
                <w:szCs w:val="20"/>
              </w:rPr>
            </w:pPr>
          </w:p>
        </w:tc>
        <w:tc>
          <w:tcPr>
            <w:tcW w:w="985" w:type="pct"/>
            <w:shd w:val="clear" w:color="auto" w:fill="auto"/>
            <w:vAlign w:val="bottom"/>
          </w:tcPr>
          <w:p w14:paraId="2D3A7557" w14:textId="5D3A3876" w:rsidR="000D5A50" w:rsidRPr="00520C7C" w:rsidRDefault="0049100A" w:rsidP="006169A3">
            <w:pPr>
              <w:rPr>
                <w:sz w:val="20"/>
                <w:szCs w:val="20"/>
              </w:rPr>
            </w:pPr>
            <w:r w:rsidRPr="00520C7C">
              <w:rPr>
                <w:sz w:val="20"/>
                <w:szCs w:val="20"/>
              </w:rPr>
              <w:t>-0.7 (-7.6 -</w:t>
            </w:r>
            <w:r w:rsidR="000D5A50" w:rsidRPr="00520C7C">
              <w:rPr>
                <w:sz w:val="20"/>
                <w:szCs w:val="20"/>
              </w:rPr>
              <w:t xml:space="preserve"> 0.8)</w:t>
            </w:r>
          </w:p>
        </w:tc>
      </w:tr>
      <w:tr w:rsidR="00520C7C" w:rsidRPr="00520C7C" w14:paraId="31DC768F" w14:textId="77777777" w:rsidTr="008A47F4">
        <w:trPr>
          <w:trHeight w:val="284"/>
        </w:trPr>
        <w:tc>
          <w:tcPr>
            <w:tcW w:w="1363" w:type="pct"/>
            <w:shd w:val="clear" w:color="auto" w:fill="auto"/>
            <w:vAlign w:val="bottom"/>
          </w:tcPr>
          <w:p w14:paraId="7D2B3EF0" w14:textId="463237DC" w:rsidR="00CB416F" w:rsidRPr="00520C7C" w:rsidRDefault="00E523E8" w:rsidP="00B2315B">
            <w:pPr>
              <w:rPr>
                <w:sz w:val="20"/>
                <w:szCs w:val="20"/>
              </w:rPr>
            </w:pPr>
            <w:r w:rsidRPr="00520C7C">
              <w:rPr>
                <w:sz w:val="20"/>
                <w:szCs w:val="20"/>
              </w:rPr>
              <w:t>*</w:t>
            </w:r>
            <w:r w:rsidR="00CB416F" w:rsidRPr="00520C7C">
              <w:rPr>
                <w:sz w:val="20"/>
                <w:szCs w:val="20"/>
              </w:rPr>
              <w:t>Fitness only (n=3)</w:t>
            </w:r>
          </w:p>
        </w:tc>
        <w:tc>
          <w:tcPr>
            <w:tcW w:w="1062" w:type="pct"/>
            <w:shd w:val="clear" w:color="auto" w:fill="auto"/>
            <w:vAlign w:val="bottom"/>
          </w:tcPr>
          <w:p w14:paraId="7F1A7991" w14:textId="79B7D4D7" w:rsidR="00CB416F" w:rsidRPr="00520C7C" w:rsidRDefault="00E523E8" w:rsidP="00B2315B">
            <w:pPr>
              <w:jc w:val="right"/>
              <w:rPr>
                <w:sz w:val="20"/>
                <w:szCs w:val="20"/>
              </w:rPr>
            </w:pPr>
            <w:r w:rsidRPr="00520C7C">
              <w:rPr>
                <w:sz w:val="20"/>
                <w:szCs w:val="20"/>
              </w:rPr>
              <w:t>73.4 (69.5 - 80.2)</w:t>
            </w:r>
          </w:p>
        </w:tc>
        <w:tc>
          <w:tcPr>
            <w:tcW w:w="987" w:type="pct"/>
            <w:shd w:val="clear" w:color="auto" w:fill="auto"/>
            <w:vAlign w:val="bottom"/>
          </w:tcPr>
          <w:p w14:paraId="35B69D99" w14:textId="5154809F" w:rsidR="00CB416F" w:rsidRPr="00520C7C" w:rsidRDefault="00E523E8" w:rsidP="00B2315B">
            <w:pPr>
              <w:jc w:val="right"/>
              <w:rPr>
                <w:sz w:val="20"/>
                <w:szCs w:val="20"/>
              </w:rPr>
            </w:pPr>
            <w:r w:rsidRPr="00520C7C">
              <w:rPr>
                <w:sz w:val="20"/>
                <w:szCs w:val="20"/>
              </w:rPr>
              <w:t>70.3 (66.0 - 87.0)</w:t>
            </w:r>
          </w:p>
        </w:tc>
        <w:tc>
          <w:tcPr>
            <w:tcW w:w="456" w:type="pct"/>
            <w:shd w:val="clear" w:color="auto" w:fill="auto"/>
            <w:vAlign w:val="bottom"/>
          </w:tcPr>
          <w:p w14:paraId="39C8BC0B" w14:textId="77777777" w:rsidR="00CB416F" w:rsidRPr="00520C7C" w:rsidRDefault="00CB416F" w:rsidP="00B2315B">
            <w:pPr>
              <w:jc w:val="right"/>
              <w:rPr>
                <w:sz w:val="20"/>
                <w:szCs w:val="20"/>
              </w:rPr>
            </w:pPr>
          </w:p>
        </w:tc>
        <w:tc>
          <w:tcPr>
            <w:tcW w:w="147" w:type="pct"/>
            <w:shd w:val="clear" w:color="auto" w:fill="auto"/>
            <w:vAlign w:val="bottom"/>
          </w:tcPr>
          <w:p w14:paraId="64E2B415" w14:textId="77777777" w:rsidR="00CB416F" w:rsidRPr="00520C7C" w:rsidRDefault="00CB416F" w:rsidP="00B2315B">
            <w:pPr>
              <w:jc w:val="right"/>
              <w:rPr>
                <w:sz w:val="20"/>
                <w:szCs w:val="20"/>
              </w:rPr>
            </w:pPr>
          </w:p>
        </w:tc>
        <w:tc>
          <w:tcPr>
            <w:tcW w:w="985" w:type="pct"/>
            <w:shd w:val="clear" w:color="auto" w:fill="auto"/>
            <w:vAlign w:val="bottom"/>
          </w:tcPr>
          <w:p w14:paraId="68236B68" w14:textId="3160A502" w:rsidR="00CB416F" w:rsidRPr="00520C7C" w:rsidRDefault="00E523E8" w:rsidP="006169A3">
            <w:pPr>
              <w:rPr>
                <w:sz w:val="20"/>
                <w:szCs w:val="20"/>
              </w:rPr>
            </w:pPr>
            <w:r w:rsidRPr="00520C7C">
              <w:rPr>
                <w:sz w:val="20"/>
                <w:szCs w:val="20"/>
              </w:rPr>
              <w:t>0.9 (-7.4 – 6.9)</w:t>
            </w:r>
          </w:p>
        </w:tc>
      </w:tr>
      <w:tr w:rsidR="00520C7C" w:rsidRPr="00520C7C" w14:paraId="2C3DCC73" w14:textId="77777777" w:rsidTr="008A47F4">
        <w:trPr>
          <w:trHeight w:val="284"/>
        </w:trPr>
        <w:tc>
          <w:tcPr>
            <w:tcW w:w="1363" w:type="pct"/>
            <w:shd w:val="clear" w:color="auto" w:fill="auto"/>
            <w:vAlign w:val="bottom"/>
          </w:tcPr>
          <w:p w14:paraId="3F33D578" w14:textId="77777777" w:rsidR="000D5A50" w:rsidRPr="00520C7C" w:rsidRDefault="000D5A50" w:rsidP="00B2315B">
            <w:pPr>
              <w:rPr>
                <w:b/>
                <w:bCs/>
                <w:sz w:val="20"/>
                <w:szCs w:val="20"/>
              </w:rPr>
            </w:pPr>
            <w:r w:rsidRPr="00520C7C">
              <w:rPr>
                <w:b/>
                <w:bCs/>
                <w:sz w:val="20"/>
                <w:szCs w:val="20"/>
              </w:rPr>
              <w:t>BMI (kg/m</w:t>
            </w:r>
            <w:r w:rsidRPr="00520C7C">
              <w:rPr>
                <w:b/>
                <w:bCs/>
                <w:sz w:val="20"/>
                <w:szCs w:val="20"/>
                <w:vertAlign w:val="superscript"/>
              </w:rPr>
              <w:t>2</w:t>
            </w:r>
            <w:r w:rsidRPr="00520C7C">
              <w:rPr>
                <w:b/>
                <w:bCs/>
                <w:sz w:val="20"/>
                <w:szCs w:val="20"/>
              </w:rPr>
              <w:t>)</w:t>
            </w:r>
          </w:p>
        </w:tc>
        <w:tc>
          <w:tcPr>
            <w:tcW w:w="1062" w:type="pct"/>
            <w:shd w:val="clear" w:color="auto" w:fill="auto"/>
            <w:vAlign w:val="bottom"/>
          </w:tcPr>
          <w:p w14:paraId="429132B0" w14:textId="77777777" w:rsidR="000D5A50" w:rsidRPr="00520C7C" w:rsidRDefault="000D5A50" w:rsidP="00B2315B">
            <w:pPr>
              <w:rPr>
                <w:sz w:val="20"/>
                <w:szCs w:val="20"/>
              </w:rPr>
            </w:pPr>
          </w:p>
        </w:tc>
        <w:tc>
          <w:tcPr>
            <w:tcW w:w="987" w:type="pct"/>
            <w:shd w:val="clear" w:color="auto" w:fill="auto"/>
            <w:vAlign w:val="bottom"/>
          </w:tcPr>
          <w:p w14:paraId="57525876" w14:textId="77777777" w:rsidR="000D5A50" w:rsidRPr="00520C7C" w:rsidRDefault="000D5A50" w:rsidP="00B2315B">
            <w:pPr>
              <w:rPr>
                <w:sz w:val="20"/>
                <w:szCs w:val="20"/>
              </w:rPr>
            </w:pPr>
          </w:p>
        </w:tc>
        <w:tc>
          <w:tcPr>
            <w:tcW w:w="456" w:type="pct"/>
            <w:shd w:val="clear" w:color="auto" w:fill="auto"/>
            <w:vAlign w:val="bottom"/>
          </w:tcPr>
          <w:p w14:paraId="0D188E7F" w14:textId="77777777" w:rsidR="000D5A50" w:rsidRPr="00520C7C" w:rsidRDefault="000D5A50" w:rsidP="00B2315B">
            <w:pPr>
              <w:rPr>
                <w:sz w:val="20"/>
                <w:szCs w:val="20"/>
              </w:rPr>
            </w:pPr>
          </w:p>
        </w:tc>
        <w:tc>
          <w:tcPr>
            <w:tcW w:w="147" w:type="pct"/>
            <w:shd w:val="clear" w:color="auto" w:fill="auto"/>
            <w:vAlign w:val="bottom"/>
          </w:tcPr>
          <w:p w14:paraId="021F59A2" w14:textId="77777777" w:rsidR="000D5A50" w:rsidRPr="00520C7C" w:rsidRDefault="000D5A50" w:rsidP="00B2315B">
            <w:pPr>
              <w:rPr>
                <w:sz w:val="20"/>
                <w:szCs w:val="20"/>
              </w:rPr>
            </w:pPr>
          </w:p>
        </w:tc>
        <w:tc>
          <w:tcPr>
            <w:tcW w:w="985" w:type="pct"/>
            <w:shd w:val="clear" w:color="auto" w:fill="auto"/>
            <w:vAlign w:val="bottom"/>
          </w:tcPr>
          <w:p w14:paraId="07BE57DF" w14:textId="77777777" w:rsidR="000D5A50" w:rsidRPr="00520C7C" w:rsidRDefault="000D5A50" w:rsidP="006169A3">
            <w:pPr>
              <w:rPr>
                <w:sz w:val="20"/>
                <w:szCs w:val="20"/>
              </w:rPr>
            </w:pPr>
          </w:p>
        </w:tc>
      </w:tr>
      <w:tr w:rsidR="00520C7C" w:rsidRPr="00520C7C" w14:paraId="7016716D" w14:textId="77777777" w:rsidTr="008A47F4">
        <w:trPr>
          <w:trHeight w:val="284"/>
        </w:trPr>
        <w:tc>
          <w:tcPr>
            <w:tcW w:w="1363" w:type="pct"/>
            <w:shd w:val="clear" w:color="auto" w:fill="auto"/>
            <w:vAlign w:val="bottom"/>
          </w:tcPr>
          <w:p w14:paraId="59D9185B" w14:textId="77A6D56F" w:rsidR="000D5A50" w:rsidRPr="00520C7C" w:rsidRDefault="00A018D7" w:rsidP="00A018D7">
            <w:pPr>
              <w:rPr>
                <w:sz w:val="20"/>
                <w:szCs w:val="20"/>
              </w:rPr>
            </w:pPr>
            <w:r w:rsidRPr="00520C7C">
              <w:rPr>
                <w:sz w:val="20"/>
                <w:szCs w:val="20"/>
              </w:rPr>
              <w:t>Momenta-F</w:t>
            </w:r>
            <w:r w:rsidR="006E1DA5" w:rsidRPr="00520C7C">
              <w:rPr>
                <w:sz w:val="20"/>
                <w:szCs w:val="20"/>
              </w:rPr>
              <w:t xml:space="preserve">itness </w:t>
            </w:r>
            <w:r w:rsidR="000D5A50" w:rsidRPr="00520C7C">
              <w:rPr>
                <w:sz w:val="20"/>
                <w:szCs w:val="20"/>
              </w:rPr>
              <w:t>(n=18)</w:t>
            </w:r>
          </w:p>
        </w:tc>
        <w:tc>
          <w:tcPr>
            <w:tcW w:w="1062" w:type="pct"/>
            <w:shd w:val="clear" w:color="auto" w:fill="auto"/>
            <w:vAlign w:val="bottom"/>
          </w:tcPr>
          <w:p w14:paraId="78883BAD" w14:textId="77777777" w:rsidR="000D5A50" w:rsidRPr="00520C7C" w:rsidRDefault="000D5A50" w:rsidP="00B2315B">
            <w:pPr>
              <w:jc w:val="right"/>
              <w:rPr>
                <w:sz w:val="20"/>
                <w:szCs w:val="20"/>
              </w:rPr>
            </w:pPr>
            <w:r w:rsidRPr="00520C7C">
              <w:rPr>
                <w:sz w:val="20"/>
                <w:szCs w:val="20"/>
              </w:rPr>
              <w:t>32.0 (30.49 - 35.1)</w:t>
            </w:r>
          </w:p>
        </w:tc>
        <w:tc>
          <w:tcPr>
            <w:tcW w:w="987" w:type="pct"/>
            <w:shd w:val="clear" w:color="auto" w:fill="auto"/>
            <w:vAlign w:val="bottom"/>
          </w:tcPr>
          <w:p w14:paraId="1D66517D" w14:textId="77777777" w:rsidR="000D5A50" w:rsidRPr="00520C7C" w:rsidRDefault="000D5A50" w:rsidP="00B2315B">
            <w:pPr>
              <w:jc w:val="right"/>
              <w:rPr>
                <w:sz w:val="20"/>
                <w:szCs w:val="20"/>
              </w:rPr>
            </w:pPr>
            <w:r w:rsidRPr="00520C7C">
              <w:rPr>
                <w:sz w:val="20"/>
                <w:szCs w:val="20"/>
              </w:rPr>
              <w:t>30.8 (28.7 - 34.0)</w:t>
            </w:r>
          </w:p>
        </w:tc>
        <w:tc>
          <w:tcPr>
            <w:tcW w:w="456" w:type="pct"/>
            <w:shd w:val="clear" w:color="auto" w:fill="auto"/>
            <w:vAlign w:val="bottom"/>
          </w:tcPr>
          <w:p w14:paraId="7950E2C7" w14:textId="77777777" w:rsidR="000D5A50" w:rsidRPr="00520C7C" w:rsidRDefault="000D5A50" w:rsidP="00B2315B">
            <w:pPr>
              <w:jc w:val="right"/>
              <w:rPr>
                <w:sz w:val="20"/>
                <w:szCs w:val="20"/>
              </w:rPr>
            </w:pPr>
            <w:r w:rsidRPr="00520C7C">
              <w:rPr>
                <w:sz w:val="20"/>
                <w:szCs w:val="20"/>
              </w:rPr>
              <w:t>-3.157</w:t>
            </w:r>
          </w:p>
        </w:tc>
        <w:tc>
          <w:tcPr>
            <w:tcW w:w="147" w:type="pct"/>
            <w:shd w:val="clear" w:color="auto" w:fill="auto"/>
            <w:vAlign w:val="bottom"/>
          </w:tcPr>
          <w:p w14:paraId="2F18D93D" w14:textId="53732EF4" w:rsidR="000D5A50" w:rsidRPr="00520C7C" w:rsidRDefault="000D5A50" w:rsidP="00B2315B">
            <w:pPr>
              <w:jc w:val="right"/>
              <w:rPr>
                <w:sz w:val="20"/>
                <w:szCs w:val="20"/>
              </w:rPr>
            </w:pPr>
          </w:p>
        </w:tc>
        <w:tc>
          <w:tcPr>
            <w:tcW w:w="985" w:type="pct"/>
            <w:shd w:val="clear" w:color="auto" w:fill="auto"/>
            <w:vAlign w:val="bottom"/>
          </w:tcPr>
          <w:p w14:paraId="6752D731" w14:textId="67964413" w:rsidR="000D5A50" w:rsidRPr="00520C7C" w:rsidRDefault="0049100A" w:rsidP="006169A3">
            <w:pPr>
              <w:rPr>
                <w:sz w:val="20"/>
                <w:szCs w:val="20"/>
              </w:rPr>
            </w:pPr>
            <w:r w:rsidRPr="00520C7C">
              <w:rPr>
                <w:sz w:val="20"/>
                <w:szCs w:val="20"/>
              </w:rPr>
              <w:t xml:space="preserve">-1.7 (-2.0 - </w:t>
            </w:r>
            <w:r w:rsidR="000D5A50" w:rsidRPr="00520C7C">
              <w:rPr>
                <w:sz w:val="20"/>
                <w:szCs w:val="20"/>
              </w:rPr>
              <w:t>-0.6)</w:t>
            </w:r>
          </w:p>
        </w:tc>
      </w:tr>
      <w:tr w:rsidR="00520C7C" w:rsidRPr="00520C7C" w14:paraId="42E1FF02" w14:textId="77777777" w:rsidTr="008A47F4">
        <w:trPr>
          <w:trHeight w:val="284"/>
        </w:trPr>
        <w:tc>
          <w:tcPr>
            <w:tcW w:w="1363" w:type="pct"/>
            <w:shd w:val="clear" w:color="auto" w:fill="auto"/>
            <w:vAlign w:val="bottom"/>
          </w:tcPr>
          <w:p w14:paraId="280A61C1" w14:textId="77777777" w:rsidR="000D5A50" w:rsidRPr="00520C7C" w:rsidRDefault="000D5A50" w:rsidP="00B2315B">
            <w:pPr>
              <w:rPr>
                <w:sz w:val="20"/>
                <w:szCs w:val="20"/>
              </w:rPr>
            </w:pPr>
            <w:r w:rsidRPr="00520C7C">
              <w:rPr>
                <w:sz w:val="20"/>
                <w:szCs w:val="20"/>
              </w:rPr>
              <w:t>Momenta only (n=16)</w:t>
            </w:r>
          </w:p>
        </w:tc>
        <w:tc>
          <w:tcPr>
            <w:tcW w:w="1062" w:type="pct"/>
            <w:shd w:val="clear" w:color="auto" w:fill="auto"/>
            <w:vAlign w:val="bottom"/>
          </w:tcPr>
          <w:p w14:paraId="3154E608" w14:textId="77777777" w:rsidR="000D5A50" w:rsidRPr="00520C7C" w:rsidRDefault="000D5A50" w:rsidP="00B2315B">
            <w:pPr>
              <w:jc w:val="right"/>
              <w:rPr>
                <w:sz w:val="20"/>
                <w:szCs w:val="20"/>
              </w:rPr>
            </w:pPr>
            <w:r w:rsidRPr="00520C7C">
              <w:rPr>
                <w:sz w:val="20"/>
                <w:szCs w:val="20"/>
              </w:rPr>
              <w:t>31.7 (29.3 – 33.9)</w:t>
            </w:r>
          </w:p>
        </w:tc>
        <w:tc>
          <w:tcPr>
            <w:tcW w:w="987" w:type="pct"/>
            <w:shd w:val="clear" w:color="auto" w:fill="auto"/>
            <w:vAlign w:val="bottom"/>
          </w:tcPr>
          <w:p w14:paraId="21098E3C" w14:textId="77777777" w:rsidR="000D5A50" w:rsidRPr="00520C7C" w:rsidRDefault="000D5A50" w:rsidP="00B2315B">
            <w:pPr>
              <w:jc w:val="right"/>
              <w:rPr>
                <w:sz w:val="20"/>
                <w:szCs w:val="20"/>
              </w:rPr>
            </w:pPr>
            <w:r w:rsidRPr="00520C7C">
              <w:rPr>
                <w:sz w:val="20"/>
                <w:szCs w:val="20"/>
              </w:rPr>
              <w:t>31.1 (26.7 – 33.6)</w:t>
            </w:r>
          </w:p>
        </w:tc>
        <w:tc>
          <w:tcPr>
            <w:tcW w:w="456" w:type="pct"/>
            <w:shd w:val="clear" w:color="auto" w:fill="auto"/>
            <w:vAlign w:val="bottom"/>
          </w:tcPr>
          <w:p w14:paraId="06A258A9" w14:textId="77777777" w:rsidR="000D5A50" w:rsidRPr="00520C7C" w:rsidRDefault="000D5A50" w:rsidP="00B2315B">
            <w:pPr>
              <w:jc w:val="right"/>
              <w:rPr>
                <w:sz w:val="20"/>
                <w:szCs w:val="20"/>
              </w:rPr>
            </w:pPr>
            <w:r w:rsidRPr="00520C7C">
              <w:rPr>
                <w:sz w:val="20"/>
                <w:szCs w:val="20"/>
              </w:rPr>
              <w:t>-1.603</w:t>
            </w:r>
          </w:p>
        </w:tc>
        <w:tc>
          <w:tcPr>
            <w:tcW w:w="147" w:type="pct"/>
            <w:shd w:val="clear" w:color="auto" w:fill="auto"/>
            <w:vAlign w:val="bottom"/>
          </w:tcPr>
          <w:p w14:paraId="1D2FFC1A" w14:textId="6A14B59D" w:rsidR="000D5A50" w:rsidRPr="00520C7C" w:rsidRDefault="000D5A50" w:rsidP="00B2315B">
            <w:pPr>
              <w:jc w:val="right"/>
              <w:rPr>
                <w:sz w:val="20"/>
                <w:szCs w:val="20"/>
              </w:rPr>
            </w:pPr>
          </w:p>
        </w:tc>
        <w:tc>
          <w:tcPr>
            <w:tcW w:w="985" w:type="pct"/>
            <w:shd w:val="clear" w:color="auto" w:fill="auto"/>
            <w:vAlign w:val="bottom"/>
          </w:tcPr>
          <w:p w14:paraId="54E72778" w14:textId="71080882" w:rsidR="000D5A50" w:rsidRPr="00520C7C" w:rsidRDefault="0049100A" w:rsidP="006169A3">
            <w:pPr>
              <w:rPr>
                <w:sz w:val="20"/>
                <w:szCs w:val="20"/>
              </w:rPr>
            </w:pPr>
            <w:r w:rsidRPr="00520C7C">
              <w:rPr>
                <w:sz w:val="20"/>
                <w:szCs w:val="20"/>
              </w:rPr>
              <w:t xml:space="preserve">-0.3 (-2.3 - </w:t>
            </w:r>
            <w:r w:rsidR="000D5A50" w:rsidRPr="00520C7C">
              <w:rPr>
                <w:sz w:val="20"/>
                <w:szCs w:val="20"/>
              </w:rPr>
              <w:t>0.3)</w:t>
            </w:r>
          </w:p>
        </w:tc>
      </w:tr>
      <w:tr w:rsidR="00520C7C" w:rsidRPr="00520C7C" w14:paraId="3A7F3FB0" w14:textId="77777777" w:rsidTr="008A47F4">
        <w:trPr>
          <w:trHeight w:val="284"/>
        </w:trPr>
        <w:tc>
          <w:tcPr>
            <w:tcW w:w="1363" w:type="pct"/>
            <w:shd w:val="clear" w:color="auto" w:fill="auto"/>
            <w:vAlign w:val="bottom"/>
          </w:tcPr>
          <w:p w14:paraId="3FA774DA" w14:textId="5F588292" w:rsidR="00CB416F" w:rsidRPr="00520C7C" w:rsidRDefault="00E523E8" w:rsidP="00B2315B">
            <w:pPr>
              <w:rPr>
                <w:sz w:val="20"/>
                <w:szCs w:val="20"/>
              </w:rPr>
            </w:pPr>
            <w:r w:rsidRPr="00520C7C">
              <w:rPr>
                <w:sz w:val="20"/>
                <w:szCs w:val="20"/>
              </w:rPr>
              <w:t>*</w:t>
            </w:r>
            <w:r w:rsidR="00CB416F" w:rsidRPr="00520C7C">
              <w:rPr>
                <w:sz w:val="20"/>
                <w:szCs w:val="20"/>
              </w:rPr>
              <w:t>Fitness only (n=3)</w:t>
            </w:r>
          </w:p>
        </w:tc>
        <w:tc>
          <w:tcPr>
            <w:tcW w:w="1062" w:type="pct"/>
            <w:shd w:val="clear" w:color="auto" w:fill="auto"/>
            <w:vAlign w:val="bottom"/>
          </w:tcPr>
          <w:p w14:paraId="163AABF6" w14:textId="3CAD6E60" w:rsidR="00CB416F" w:rsidRPr="00520C7C" w:rsidRDefault="00E523E8" w:rsidP="00B2315B">
            <w:pPr>
              <w:jc w:val="right"/>
              <w:rPr>
                <w:sz w:val="20"/>
                <w:szCs w:val="20"/>
              </w:rPr>
            </w:pPr>
            <w:r w:rsidRPr="00520C7C">
              <w:rPr>
                <w:sz w:val="20"/>
                <w:szCs w:val="20"/>
              </w:rPr>
              <w:t>27.6 (27.5 - 30.5)</w:t>
            </w:r>
          </w:p>
        </w:tc>
        <w:tc>
          <w:tcPr>
            <w:tcW w:w="987" w:type="pct"/>
            <w:shd w:val="clear" w:color="auto" w:fill="auto"/>
            <w:vAlign w:val="bottom"/>
          </w:tcPr>
          <w:p w14:paraId="63E3AAE5" w14:textId="79CAD9D1" w:rsidR="00CB416F" w:rsidRPr="00520C7C" w:rsidRDefault="00E523E8" w:rsidP="00B2315B">
            <w:pPr>
              <w:jc w:val="right"/>
              <w:rPr>
                <w:sz w:val="20"/>
                <w:szCs w:val="20"/>
              </w:rPr>
            </w:pPr>
            <w:r w:rsidRPr="00520C7C">
              <w:rPr>
                <w:sz w:val="20"/>
                <w:szCs w:val="20"/>
              </w:rPr>
              <w:t>27.8 (24.8 – 33.2)</w:t>
            </w:r>
          </w:p>
        </w:tc>
        <w:tc>
          <w:tcPr>
            <w:tcW w:w="456" w:type="pct"/>
            <w:shd w:val="clear" w:color="auto" w:fill="auto"/>
            <w:vAlign w:val="bottom"/>
          </w:tcPr>
          <w:p w14:paraId="30200BAD" w14:textId="77777777" w:rsidR="00CB416F" w:rsidRPr="00520C7C" w:rsidRDefault="00CB416F" w:rsidP="00B2315B">
            <w:pPr>
              <w:jc w:val="right"/>
              <w:rPr>
                <w:sz w:val="20"/>
                <w:szCs w:val="20"/>
              </w:rPr>
            </w:pPr>
          </w:p>
        </w:tc>
        <w:tc>
          <w:tcPr>
            <w:tcW w:w="147" w:type="pct"/>
            <w:shd w:val="clear" w:color="auto" w:fill="auto"/>
            <w:vAlign w:val="bottom"/>
          </w:tcPr>
          <w:p w14:paraId="586CC8AF" w14:textId="77777777" w:rsidR="00CB416F" w:rsidRPr="00520C7C" w:rsidRDefault="00CB416F" w:rsidP="00B2315B">
            <w:pPr>
              <w:jc w:val="right"/>
              <w:rPr>
                <w:sz w:val="20"/>
                <w:szCs w:val="20"/>
              </w:rPr>
            </w:pPr>
          </w:p>
        </w:tc>
        <w:tc>
          <w:tcPr>
            <w:tcW w:w="985" w:type="pct"/>
            <w:shd w:val="clear" w:color="auto" w:fill="auto"/>
            <w:vAlign w:val="bottom"/>
          </w:tcPr>
          <w:p w14:paraId="605BBD6F" w14:textId="03591436" w:rsidR="00CB416F" w:rsidRPr="00520C7C" w:rsidRDefault="00E523E8" w:rsidP="006169A3">
            <w:pPr>
              <w:rPr>
                <w:sz w:val="20"/>
                <w:szCs w:val="20"/>
              </w:rPr>
            </w:pPr>
            <w:r w:rsidRPr="00520C7C">
              <w:rPr>
                <w:sz w:val="20"/>
                <w:szCs w:val="20"/>
              </w:rPr>
              <w:t xml:space="preserve">0.3 (24.8 </w:t>
            </w:r>
            <w:r w:rsidR="00681F1B" w:rsidRPr="00520C7C">
              <w:rPr>
                <w:sz w:val="20"/>
                <w:szCs w:val="20"/>
              </w:rPr>
              <w:t>-</w:t>
            </w:r>
            <w:r w:rsidRPr="00520C7C">
              <w:rPr>
                <w:sz w:val="20"/>
                <w:szCs w:val="20"/>
              </w:rPr>
              <w:t xml:space="preserve"> 33.2)</w:t>
            </w:r>
          </w:p>
        </w:tc>
      </w:tr>
      <w:tr w:rsidR="00520C7C" w:rsidRPr="00520C7C" w14:paraId="3EDB6BF5" w14:textId="77777777" w:rsidTr="008A47F4">
        <w:trPr>
          <w:trHeight w:val="284"/>
        </w:trPr>
        <w:tc>
          <w:tcPr>
            <w:tcW w:w="1363" w:type="pct"/>
            <w:shd w:val="clear" w:color="auto" w:fill="auto"/>
            <w:vAlign w:val="bottom"/>
          </w:tcPr>
          <w:p w14:paraId="7300D673" w14:textId="77777777" w:rsidR="00CB416F" w:rsidRPr="00520C7C" w:rsidRDefault="00CB416F" w:rsidP="00B2315B">
            <w:pPr>
              <w:rPr>
                <w:b/>
                <w:bCs/>
                <w:sz w:val="20"/>
                <w:szCs w:val="20"/>
              </w:rPr>
            </w:pPr>
            <w:r w:rsidRPr="00520C7C">
              <w:rPr>
                <w:b/>
                <w:bCs/>
                <w:sz w:val="20"/>
                <w:szCs w:val="20"/>
              </w:rPr>
              <w:t>Waist circumference (cm)</w:t>
            </w:r>
          </w:p>
        </w:tc>
        <w:tc>
          <w:tcPr>
            <w:tcW w:w="1062" w:type="pct"/>
            <w:shd w:val="clear" w:color="auto" w:fill="auto"/>
            <w:vAlign w:val="bottom"/>
          </w:tcPr>
          <w:p w14:paraId="022FFB1C" w14:textId="77777777" w:rsidR="00CB416F" w:rsidRPr="00520C7C" w:rsidRDefault="00CB416F" w:rsidP="00B2315B">
            <w:pPr>
              <w:rPr>
                <w:sz w:val="20"/>
                <w:szCs w:val="20"/>
              </w:rPr>
            </w:pPr>
          </w:p>
        </w:tc>
        <w:tc>
          <w:tcPr>
            <w:tcW w:w="987" w:type="pct"/>
            <w:shd w:val="clear" w:color="auto" w:fill="auto"/>
            <w:vAlign w:val="bottom"/>
          </w:tcPr>
          <w:p w14:paraId="05C10212" w14:textId="77777777" w:rsidR="00CB416F" w:rsidRPr="00520C7C" w:rsidRDefault="00CB416F" w:rsidP="00B2315B">
            <w:pPr>
              <w:rPr>
                <w:sz w:val="20"/>
                <w:szCs w:val="20"/>
              </w:rPr>
            </w:pPr>
          </w:p>
        </w:tc>
        <w:tc>
          <w:tcPr>
            <w:tcW w:w="456" w:type="pct"/>
            <w:shd w:val="clear" w:color="auto" w:fill="auto"/>
            <w:vAlign w:val="bottom"/>
          </w:tcPr>
          <w:p w14:paraId="5879160D" w14:textId="77777777" w:rsidR="00CB416F" w:rsidRPr="00520C7C" w:rsidRDefault="00CB416F" w:rsidP="00B2315B">
            <w:pPr>
              <w:rPr>
                <w:sz w:val="20"/>
                <w:szCs w:val="20"/>
              </w:rPr>
            </w:pPr>
          </w:p>
        </w:tc>
        <w:tc>
          <w:tcPr>
            <w:tcW w:w="147" w:type="pct"/>
            <w:shd w:val="clear" w:color="auto" w:fill="auto"/>
            <w:vAlign w:val="bottom"/>
          </w:tcPr>
          <w:p w14:paraId="384FD352" w14:textId="77777777" w:rsidR="00CB416F" w:rsidRPr="00520C7C" w:rsidRDefault="00CB416F" w:rsidP="00B2315B">
            <w:pPr>
              <w:rPr>
                <w:sz w:val="20"/>
                <w:szCs w:val="20"/>
              </w:rPr>
            </w:pPr>
          </w:p>
        </w:tc>
        <w:tc>
          <w:tcPr>
            <w:tcW w:w="985" w:type="pct"/>
            <w:shd w:val="clear" w:color="auto" w:fill="auto"/>
            <w:vAlign w:val="bottom"/>
          </w:tcPr>
          <w:p w14:paraId="696ABCD7" w14:textId="77777777" w:rsidR="00CB416F" w:rsidRPr="00520C7C" w:rsidRDefault="00CB416F" w:rsidP="006169A3">
            <w:pPr>
              <w:rPr>
                <w:sz w:val="20"/>
                <w:szCs w:val="20"/>
              </w:rPr>
            </w:pPr>
          </w:p>
        </w:tc>
      </w:tr>
      <w:tr w:rsidR="00520C7C" w:rsidRPr="00520C7C" w14:paraId="7547A224" w14:textId="77777777" w:rsidTr="008A47F4">
        <w:trPr>
          <w:trHeight w:val="284"/>
        </w:trPr>
        <w:tc>
          <w:tcPr>
            <w:tcW w:w="1363" w:type="pct"/>
            <w:shd w:val="clear" w:color="auto" w:fill="auto"/>
            <w:vAlign w:val="bottom"/>
          </w:tcPr>
          <w:p w14:paraId="02C96668" w14:textId="648DD403" w:rsidR="00CB416F" w:rsidRPr="00520C7C" w:rsidRDefault="00A018D7" w:rsidP="00A018D7">
            <w:pPr>
              <w:rPr>
                <w:sz w:val="20"/>
                <w:szCs w:val="20"/>
              </w:rPr>
            </w:pPr>
            <w:r w:rsidRPr="00520C7C">
              <w:rPr>
                <w:sz w:val="20"/>
                <w:szCs w:val="20"/>
              </w:rPr>
              <w:t>Momenta-F</w:t>
            </w:r>
            <w:r w:rsidR="00CB416F" w:rsidRPr="00520C7C">
              <w:rPr>
                <w:sz w:val="20"/>
                <w:szCs w:val="20"/>
              </w:rPr>
              <w:t>itness (n=18)</w:t>
            </w:r>
          </w:p>
        </w:tc>
        <w:tc>
          <w:tcPr>
            <w:tcW w:w="1062" w:type="pct"/>
            <w:shd w:val="clear" w:color="auto" w:fill="auto"/>
            <w:vAlign w:val="bottom"/>
          </w:tcPr>
          <w:p w14:paraId="036A5371" w14:textId="77777777" w:rsidR="00CB416F" w:rsidRPr="00520C7C" w:rsidRDefault="00CB416F" w:rsidP="00B2315B">
            <w:pPr>
              <w:jc w:val="right"/>
              <w:rPr>
                <w:sz w:val="20"/>
                <w:szCs w:val="20"/>
              </w:rPr>
            </w:pPr>
            <w:r w:rsidRPr="00520C7C">
              <w:rPr>
                <w:sz w:val="20"/>
                <w:szCs w:val="20"/>
              </w:rPr>
              <w:t>109.0 (101.0 - 114.8)</w:t>
            </w:r>
          </w:p>
        </w:tc>
        <w:tc>
          <w:tcPr>
            <w:tcW w:w="987" w:type="pct"/>
            <w:shd w:val="clear" w:color="auto" w:fill="auto"/>
            <w:vAlign w:val="bottom"/>
          </w:tcPr>
          <w:p w14:paraId="210FB740" w14:textId="77777777" w:rsidR="00CB416F" w:rsidRPr="00520C7C" w:rsidRDefault="00CB416F" w:rsidP="00B2315B">
            <w:pPr>
              <w:jc w:val="right"/>
              <w:rPr>
                <w:sz w:val="20"/>
                <w:szCs w:val="20"/>
              </w:rPr>
            </w:pPr>
            <w:r w:rsidRPr="00520C7C">
              <w:rPr>
                <w:sz w:val="20"/>
                <w:szCs w:val="20"/>
              </w:rPr>
              <w:t>100.5 (94.8 - 107.3)</w:t>
            </w:r>
          </w:p>
        </w:tc>
        <w:tc>
          <w:tcPr>
            <w:tcW w:w="456" w:type="pct"/>
            <w:shd w:val="clear" w:color="auto" w:fill="auto"/>
            <w:vAlign w:val="bottom"/>
          </w:tcPr>
          <w:p w14:paraId="72F5C843" w14:textId="77777777" w:rsidR="00CB416F" w:rsidRPr="00520C7C" w:rsidRDefault="00CB416F" w:rsidP="00B2315B">
            <w:pPr>
              <w:jc w:val="right"/>
              <w:rPr>
                <w:sz w:val="20"/>
                <w:szCs w:val="20"/>
              </w:rPr>
            </w:pPr>
            <w:r w:rsidRPr="00520C7C">
              <w:rPr>
                <w:sz w:val="20"/>
                <w:szCs w:val="20"/>
              </w:rPr>
              <w:t>-3.221</w:t>
            </w:r>
          </w:p>
        </w:tc>
        <w:tc>
          <w:tcPr>
            <w:tcW w:w="147" w:type="pct"/>
            <w:shd w:val="clear" w:color="auto" w:fill="auto"/>
            <w:vAlign w:val="bottom"/>
          </w:tcPr>
          <w:p w14:paraId="5A10A1DF" w14:textId="1A024B9B" w:rsidR="00CB416F" w:rsidRPr="00520C7C" w:rsidRDefault="00CB416F" w:rsidP="00B2315B">
            <w:pPr>
              <w:jc w:val="right"/>
              <w:rPr>
                <w:sz w:val="20"/>
                <w:szCs w:val="20"/>
              </w:rPr>
            </w:pPr>
          </w:p>
        </w:tc>
        <w:tc>
          <w:tcPr>
            <w:tcW w:w="985" w:type="pct"/>
            <w:shd w:val="clear" w:color="auto" w:fill="auto"/>
            <w:vAlign w:val="bottom"/>
          </w:tcPr>
          <w:p w14:paraId="4B1EBD0E" w14:textId="77777777" w:rsidR="00CB416F" w:rsidRPr="00520C7C" w:rsidRDefault="00CB416F" w:rsidP="006169A3">
            <w:pPr>
              <w:rPr>
                <w:sz w:val="20"/>
                <w:szCs w:val="20"/>
              </w:rPr>
            </w:pPr>
            <w:r w:rsidRPr="00520C7C">
              <w:rPr>
                <w:sz w:val="20"/>
                <w:szCs w:val="20"/>
              </w:rPr>
              <w:t>-6.0 (-13.3 - -1.75)</w:t>
            </w:r>
          </w:p>
        </w:tc>
      </w:tr>
      <w:tr w:rsidR="00520C7C" w:rsidRPr="00520C7C" w14:paraId="04019784" w14:textId="77777777" w:rsidTr="008A47F4">
        <w:trPr>
          <w:trHeight w:val="284"/>
        </w:trPr>
        <w:tc>
          <w:tcPr>
            <w:tcW w:w="1363" w:type="pct"/>
            <w:shd w:val="clear" w:color="auto" w:fill="auto"/>
            <w:vAlign w:val="bottom"/>
          </w:tcPr>
          <w:p w14:paraId="58243A09" w14:textId="77777777" w:rsidR="00CB416F" w:rsidRPr="00520C7C" w:rsidRDefault="00CB416F" w:rsidP="00B2315B">
            <w:pPr>
              <w:rPr>
                <w:sz w:val="20"/>
                <w:szCs w:val="20"/>
              </w:rPr>
            </w:pPr>
            <w:r w:rsidRPr="00520C7C">
              <w:rPr>
                <w:sz w:val="20"/>
                <w:szCs w:val="20"/>
              </w:rPr>
              <w:t>Momenta only (n=16)</w:t>
            </w:r>
          </w:p>
        </w:tc>
        <w:tc>
          <w:tcPr>
            <w:tcW w:w="1062" w:type="pct"/>
            <w:shd w:val="clear" w:color="auto" w:fill="auto"/>
            <w:vAlign w:val="bottom"/>
          </w:tcPr>
          <w:p w14:paraId="00D347F6" w14:textId="42E5FE70" w:rsidR="00CB416F" w:rsidRPr="00520C7C" w:rsidRDefault="00CB416F" w:rsidP="00B2315B">
            <w:pPr>
              <w:jc w:val="right"/>
              <w:rPr>
                <w:sz w:val="20"/>
                <w:szCs w:val="20"/>
              </w:rPr>
            </w:pPr>
            <w:r w:rsidRPr="00520C7C">
              <w:rPr>
                <w:sz w:val="20"/>
                <w:szCs w:val="20"/>
              </w:rPr>
              <w:t>106.0 (94.5 - 115.8)</w:t>
            </w:r>
          </w:p>
        </w:tc>
        <w:tc>
          <w:tcPr>
            <w:tcW w:w="987" w:type="pct"/>
            <w:shd w:val="clear" w:color="auto" w:fill="auto"/>
            <w:vAlign w:val="bottom"/>
          </w:tcPr>
          <w:p w14:paraId="447C4FEE" w14:textId="77777777" w:rsidR="00CB416F" w:rsidRPr="00520C7C" w:rsidRDefault="00CB416F" w:rsidP="00B2315B">
            <w:pPr>
              <w:jc w:val="right"/>
              <w:rPr>
                <w:sz w:val="20"/>
                <w:szCs w:val="20"/>
              </w:rPr>
            </w:pPr>
            <w:r w:rsidRPr="00520C7C">
              <w:rPr>
                <w:sz w:val="20"/>
                <w:szCs w:val="20"/>
              </w:rPr>
              <w:t>103.5 (98.5 - 113.3)</w:t>
            </w:r>
          </w:p>
        </w:tc>
        <w:tc>
          <w:tcPr>
            <w:tcW w:w="456" w:type="pct"/>
            <w:shd w:val="clear" w:color="auto" w:fill="auto"/>
            <w:vAlign w:val="bottom"/>
          </w:tcPr>
          <w:p w14:paraId="701333B4" w14:textId="77777777" w:rsidR="00CB416F" w:rsidRPr="00520C7C" w:rsidRDefault="00CB416F" w:rsidP="00B2315B">
            <w:pPr>
              <w:jc w:val="right"/>
              <w:rPr>
                <w:sz w:val="20"/>
                <w:szCs w:val="20"/>
              </w:rPr>
            </w:pPr>
            <w:r w:rsidRPr="00520C7C">
              <w:rPr>
                <w:sz w:val="20"/>
                <w:szCs w:val="20"/>
              </w:rPr>
              <w:t>-0.780</w:t>
            </w:r>
          </w:p>
        </w:tc>
        <w:tc>
          <w:tcPr>
            <w:tcW w:w="147" w:type="pct"/>
            <w:shd w:val="clear" w:color="auto" w:fill="auto"/>
            <w:vAlign w:val="bottom"/>
          </w:tcPr>
          <w:p w14:paraId="2BB36851" w14:textId="626525AB" w:rsidR="00CB416F" w:rsidRPr="00520C7C" w:rsidRDefault="00CB416F" w:rsidP="008A47F4">
            <w:pPr>
              <w:jc w:val="right"/>
              <w:rPr>
                <w:sz w:val="20"/>
                <w:szCs w:val="20"/>
              </w:rPr>
            </w:pPr>
            <w:r w:rsidRPr="00520C7C">
              <w:rPr>
                <w:sz w:val="20"/>
                <w:szCs w:val="20"/>
              </w:rPr>
              <w:t xml:space="preserve">  </w:t>
            </w:r>
          </w:p>
        </w:tc>
        <w:tc>
          <w:tcPr>
            <w:tcW w:w="985" w:type="pct"/>
            <w:shd w:val="clear" w:color="auto" w:fill="auto"/>
            <w:vAlign w:val="bottom"/>
          </w:tcPr>
          <w:p w14:paraId="1CB5C2DF" w14:textId="28947FFB" w:rsidR="00CB416F" w:rsidRPr="00520C7C" w:rsidRDefault="00CB416F" w:rsidP="006169A3">
            <w:pPr>
              <w:rPr>
                <w:sz w:val="20"/>
                <w:szCs w:val="20"/>
              </w:rPr>
            </w:pPr>
            <w:r w:rsidRPr="00520C7C">
              <w:rPr>
                <w:sz w:val="20"/>
                <w:szCs w:val="20"/>
              </w:rPr>
              <w:t>-2.5 (-9.0 - -10.0)</w:t>
            </w:r>
          </w:p>
        </w:tc>
      </w:tr>
      <w:tr w:rsidR="00520C7C" w:rsidRPr="00520C7C" w14:paraId="5524B059" w14:textId="77777777" w:rsidTr="008A47F4">
        <w:trPr>
          <w:trHeight w:val="284"/>
        </w:trPr>
        <w:tc>
          <w:tcPr>
            <w:tcW w:w="1363" w:type="pct"/>
            <w:shd w:val="clear" w:color="auto" w:fill="auto"/>
            <w:vAlign w:val="bottom"/>
          </w:tcPr>
          <w:p w14:paraId="22656E8B" w14:textId="1B81F489" w:rsidR="00CB416F" w:rsidRPr="00520C7C" w:rsidRDefault="00E523E8" w:rsidP="00B2315B">
            <w:pPr>
              <w:rPr>
                <w:sz w:val="20"/>
                <w:szCs w:val="20"/>
              </w:rPr>
            </w:pPr>
            <w:r w:rsidRPr="00520C7C">
              <w:rPr>
                <w:sz w:val="20"/>
                <w:szCs w:val="20"/>
              </w:rPr>
              <w:t>*</w:t>
            </w:r>
            <w:r w:rsidR="00CB416F" w:rsidRPr="00520C7C">
              <w:rPr>
                <w:sz w:val="20"/>
                <w:szCs w:val="20"/>
              </w:rPr>
              <w:t>Fitness only (n=3)</w:t>
            </w:r>
          </w:p>
        </w:tc>
        <w:tc>
          <w:tcPr>
            <w:tcW w:w="1062" w:type="pct"/>
            <w:shd w:val="clear" w:color="auto" w:fill="auto"/>
            <w:vAlign w:val="bottom"/>
          </w:tcPr>
          <w:p w14:paraId="284E82EB" w14:textId="36F6DDD0" w:rsidR="00CB416F" w:rsidRPr="00520C7C" w:rsidRDefault="00E523E8" w:rsidP="00B2315B">
            <w:pPr>
              <w:jc w:val="right"/>
              <w:rPr>
                <w:sz w:val="20"/>
                <w:szCs w:val="20"/>
              </w:rPr>
            </w:pPr>
            <w:r w:rsidRPr="00520C7C">
              <w:rPr>
                <w:sz w:val="20"/>
                <w:szCs w:val="20"/>
              </w:rPr>
              <w:t>89.0 (87.0 – 95.0)</w:t>
            </w:r>
          </w:p>
        </w:tc>
        <w:tc>
          <w:tcPr>
            <w:tcW w:w="987" w:type="pct"/>
            <w:shd w:val="clear" w:color="auto" w:fill="auto"/>
            <w:vAlign w:val="bottom"/>
          </w:tcPr>
          <w:p w14:paraId="67014297" w14:textId="1FF37939" w:rsidR="00CB416F" w:rsidRPr="00520C7C" w:rsidRDefault="00E523E8" w:rsidP="00B2315B">
            <w:pPr>
              <w:jc w:val="right"/>
              <w:rPr>
                <w:sz w:val="20"/>
                <w:szCs w:val="20"/>
              </w:rPr>
            </w:pPr>
            <w:r w:rsidRPr="00520C7C">
              <w:rPr>
                <w:sz w:val="20"/>
                <w:szCs w:val="20"/>
              </w:rPr>
              <w:t xml:space="preserve">90.0 </w:t>
            </w:r>
            <w:r w:rsidR="003612C5" w:rsidRPr="00520C7C">
              <w:rPr>
                <w:sz w:val="20"/>
                <w:szCs w:val="20"/>
              </w:rPr>
              <w:t>(90.0 – 101.0)</w:t>
            </w:r>
          </w:p>
        </w:tc>
        <w:tc>
          <w:tcPr>
            <w:tcW w:w="456" w:type="pct"/>
            <w:shd w:val="clear" w:color="auto" w:fill="auto"/>
            <w:vAlign w:val="bottom"/>
          </w:tcPr>
          <w:p w14:paraId="3664972A" w14:textId="77777777" w:rsidR="00CB416F" w:rsidRPr="00520C7C" w:rsidRDefault="00CB416F" w:rsidP="00B2315B">
            <w:pPr>
              <w:jc w:val="right"/>
              <w:rPr>
                <w:sz w:val="20"/>
                <w:szCs w:val="20"/>
              </w:rPr>
            </w:pPr>
          </w:p>
        </w:tc>
        <w:tc>
          <w:tcPr>
            <w:tcW w:w="147" w:type="pct"/>
            <w:shd w:val="clear" w:color="auto" w:fill="auto"/>
            <w:vAlign w:val="bottom"/>
          </w:tcPr>
          <w:p w14:paraId="4C07E6D8" w14:textId="77777777" w:rsidR="00CB416F" w:rsidRPr="00520C7C" w:rsidRDefault="00CB416F" w:rsidP="00B2315B">
            <w:pPr>
              <w:jc w:val="right"/>
              <w:rPr>
                <w:sz w:val="20"/>
                <w:szCs w:val="20"/>
              </w:rPr>
            </w:pPr>
          </w:p>
        </w:tc>
        <w:tc>
          <w:tcPr>
            <w:tcW w:w="985" w:type="pct"/>
            <w:shd w:val="clear" w:color="auto" w:fill="auto"/>
            <w:vAlign w:val="bottom"/>
          </w:tcPr>
          <w:p w14:paraId="662FDC56" w14:textId="21C2AF0D" w:rsidR="00CB416F" w:rsidRPr="00520C7C" w:rsidRDefault="00E523E8" w:rsidP="006169A3">
            <w:pPr>
              <w:rPr>
                <w:sz w:val="20"/>
                <w:szCs w:val="20"/>
              </w:rPr>
            </w:pPr>
            <w:r w:rsidRPr="00520C7C">
              <w:rPr>
                <w:sz w:val="20"/>
                <w:szCs w:val="20"/>
              </w:rPr>
              <w:t>3.0</w:t>
            </w:r>
            <w:r w:rsidR="003612C5" w:rsidRPr="00520C7C">
              <w:rPr>
                <w:sz w:val="20"/>
                <w:szCs w:val="20"/>
              </w:rPr>
              <w:t xml:space="preserve"> (90.0 – 101.0)</w:t>
            </w:r>
          </w:p>
        </w:tc>
      </w:tr>
      <w:tr w:rsidR="00CB416F" w:rsidRPr="00520C7C" w14:paraId="45592F71" w14:textId="77777777" w:rsidTr="008A47F4">
        <w:tc>
          <w:tcPr>
            <w:tcW w:w="5000" w:type="pct"/>
            <w:gridSpan w:val="6"/>
            <w:shd w:val="clear" w:color="auto" w:fill="auto"/>
            <w:vAlign w:val="bottom"/>
          </w:tcPr>
          <w:p w14:paraId="19FC69E6" w14:textId="77777777" w:rsidR="00CB416F" w:rsidRPr="00520C7C" w:rsidRDefault="00CB416F" w:rsidP="00B2315B">
            <w:pPr>
              <w:rPr>
                <w:i/>
                <w:sz w:val="20"/>
                <w:szCs w:val="20"/>
              </w:rPr>
            </w:pPr>
          </w:p>
          <w:p w14:paraId="4C1E66C3" w14:textId="4A0E8F64" w:rsidR="00CB416F" w:rsidRPr="00520C7C" w:rsidRDefault="00CB416F" w:rsidP="00B2315B">
            <w:pPr>
              <w:rPr>
                <w:i/>
                <w:sz w:val="20"/>
                <w:szCs w:val="20"/>
              </w:rPr>
            </w:pPr>
            <w:r w:rsidRPr="00520C7C">
              <w:rPr>
                <w:i/>
                <w:sz w:val="20"/>
                <w:szCs w:val="20"/>
              </w:rPr>
              <w:t>*</w:t>
            </w:r>
            <w:r w:rsidRPr="00520C7C">
              <w:rPr>
                <w:sz w:val="20"/>
                <w:szCs w:val="20"/>
              </w:rPr>
              <w:t xml:space="preserve"> </w:t>
            </w:r>
            <w:r w:rsidRPr="00520C7C">
              <w:rPr>
                <w:i/>
                <w:sz w:val="20"/>
                <w:szCs w:val="20"/>
              </w:rPr>
              <w:t xml:space="preserve">Fitness only n=3 therefore </w:t>
            </w:r>
            <w:r w:rsidR="00E523E8" w:rsidRPr="00520C7C">
              <w:rPr>
                <w:i/>
                <w:sz w:val="20"/>
                <w:szCs w:val="20"/>
              </w:rPr>
              <w:t>median and range reported and no statistical test completed.</w:t>
            </w:r>
          </w:p>
        </w:tc>
      </w:tr>
    </w:tbl>
    <w:p w14:paraId="6A46D641" w14:textId="77777777" w:rsidR="004C4A50" w:rsidRPr="00F97013" w:rsidRDefault="004C4A50" w:rsidP="004B03BB">
      <w:pPr>
        <w:spacing w:line="480" w:lineRule="auto"/>
      </w:pPr>
    </w:p>
    <w:p w14:paraId="4FD48D9B" w14:textId="159FC304" w:rsidR="001504F4" w:rsidRPr="00B50235" w:rsidRDefault="00F35454" w:rsidP="001504F4">
      <w:pPr>
        <w:spacing w:line="480" w:lineRule="auto"/>
      </w:pPr>
      <w:r w:rsidRPr="00F97013">
        <w:t xml:space="preserve">Differences in mental wellbeing, depression and anxiety were not apparent between groups, however </w:t>
      </w:r>
      <w:r w:rsidR="001504F4" w:rsidRPr="00B50235">
        <w:t xml:space="preserve">improvements in mental wellbeing, and reductions in depression and anxiety were </w:t>
      </w:r>
      <w:r w:rsidR="00BD4A60" w:rsidRPr="00B50235">
        <w:t xml:space="preserve">suggested </w:t>
      </w:r>
      <w:r w:rsidR="001504F4" w:rsidRPr="00B50235">
        <w:t>between baseline and 12 weeks for Momenta-Fitness, and Momenta groups only (Table 4), although the magnitude of chan</w:t>
      </w:r>
      <w:r w:rsidR="00C95840" w:rsidRPr="00B50235">
        <w:t>ge was similar for all groups</w:t>
      </w:r>
      <w:r w:rsidR="001504F4" w:rsidRPr="00B50235">
        <w:t xml:space="preserve">. </w:t>
      </w:r>
      <w:r w:rsidR="00BD4A60" w:rsidRPr="00B50235">
        <w:t>S</w:t>
      </w:r>
      <w:r w:rsidR="001504F4" w:rsidRPr="00B50235">
        <w:t xml:space="preserve">ub-sample analysis </w:t>
      </w:r>
      <w:r w:rsidR="00780845" w:rsidRPr="00B50235">
        <w:t>at 52-weeks demonstrated</w:t>
      </w:r>
      <w:r w:rsidR="001504F4" w:rsidRPr="00B50235">
        <w:t xml:space="preserve"> </w:t>
      </w:r>
      <w:r w:rsidR="00BD4A60" w:rsidRPr="00B50235">
        <w:t>potential for</w:t>
      </w:r>
      <w:r w:rsidR="001504F4" w:rsidRPr="00B50235">
        <w:t xml:space="preserve"> improvements f</w:t>
      </w:r>
      <w:r w:rsidR="00BD4A60" w:rsidRPr="00B50235">
        <w:t>or wellbeing and depression to be</w:t>
      </w:r>
      <w:r w:rsidR="001504F4" w:rsidRPr="00B50235">
        <w:t xml:space="preserve"> maintained for Momenta-Fitness (n=18), and wellbeing and anxiety for Momenta (n=16). </w:t>
      </w:r>
    </w:p>
    <w:p w14:paraId="2A288DFC" w14:textId="77777777" w:rsidR="00086D3C" w:rsidRPr="00520C7C" w:rsidRDefault="00086D3C" w:rsidP="00EB555B">
      <w:pPr>
        <w:spacing w:line="480" w:lineRule="auto"/>
      </w:pPr>
    </w:p>
    <w:p w14:paraId="239EAB14" w14:textId="63591DEE" w:rsidR="004C4A50" w:rsidRPr="00520C7C" w:rsidRDefault="008B5E13" w:rsidP="00EB555B">
      <w:pPr>
        <w:autoSpaceDE w:val="0"/>
        <w:autoSpaceDN w:val="0"/>
        <w:adjustRightInd w:val="0"/>
        <w:spacing w:line="400" w:lineRule="atLeast"/>
        <w:rPr>
          <w:b/>
        </w:rPr>
      </w:pPr>
      <w:r w:rsidRPr="00520C7C">
        <w:rPr>
          <w:b/>
        </w:rPr>
        <w:t>Table 4.</w:t>
      </w:r>
      <w:r w:rsidR="00EE52E9" w:rsidRPr="00520C7C">
        <w:rPr>
          <w:b/>
        </w:rPr>
        <w:t xml:space="preserve"> Wellbeing, anxiety and depression measures change</w:t>
      </w:r>
      <w:r w:rsidRPr="00520C7C">
        <w:rPr>
          <w:b/>
        </w:rPr>
        <w:t>.</w:t>
      </w:r>
    </w:p>
    <w:p w14:paraId="0D0E7275" w14:textId="77777777" w:rsidR="00852F10" w:rsidRPr="00520C7C" w:rsidRDefault="00852F10" w:rsidP="00EB555B">
      <w:pPr>
        <w:autoSpaceDE w:val="0"/>
        <w:autoSpaceDN w:val="0"/>
        <w:adjustRightInd w:val="0"/>
        <w:spacing w:line="400" w:lineRule="atLeast"/>
      </w:pPr>
    </w:p>
    <w:tbl>
      <w:tblPr>
        <w:tblStyle w:val="TableGrid"/>
        <w:tblW w:w="479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1686"/>
        <w:gridCol w:w="1690"/>
        <w:gridCol w:w="837"/>
        <w:gridCol w:w="235"/>
        <w:gridCol w:w="1660"/>
      </w:tblGrid>
      <w:tr w:rsidR="00520C7C" w:rsidRPr="00520C7C" w14:paraId="1BE62F4E" w14:textId="77777777" w:rsidTr="00195DBF">
        <w:trPr>
          <w:trHeight w:val="284"/>
        </w:trPr>
        <w:tc>
          <w:tcPr>
            <w:tcW w:w="1468" w:type="pct"/>
            <w:vMerge w:val="restart"/>
            <w:shd w:val="clear" w:color="auto" w:fill="EEECE1" w:themeFill="background2"/>
          </w:tcPr>
          <w:p w14:paraId="7DF487D1" w14:textId="00D79968" w:rsidR="00B44396" w:rsidRPr="00520C7C" w:rsidRDefault="00B44396" w:rsidP="00EB555B">
            <w:pPr>
              <w:rPr>
                <w:b/>
                <w:sz w:val="20"/>
                <w:szCs w:val="20"/>
              </w:rPr>
            </w:pPr>
            <w:r w:rsidRPr="00520C7C">
              <w:rPr>
                <w:b/>
                <w:sz w:val="20"/>
                <w:szCs w:val="20"/>
              </w:rPr>
              <w:t>End of programme results</w:t>
            </w:r>
          </w:p>
        </w:tc>
        <w:tc>
          <w:tcPr>
            <w:tcW w:w="975" w:type="pct"/>
            <w:shd w:val="clear" w:color="auto" w:fill="EEECE1" w:themeFill="background2"/>
            <w:vAlign w:val="center"/>
          </w:tcPr>
          <w:p w14:paraId="290B459A" w14:textId="44251E3C" w:rsidR="00B44396" w:rsidRPr="00520C7C" w:rsidRDefault="00B44396" w:rsidP="00757342">
            <w:pPr>
              <w:rPr>
                <w:b/>
                <w:sz w:val="20"/>
                <w:szCs w:val="20"/>
              </w:rPr>
            </w:pPr>
            <w:r w:rsidRPr="00520C7C">
              <w:rPr>
                <w:b/>
                <w:sz w:val="20"/>
                <w:szCs w:val="20"/>
              </w:rPr>
              <w:t>Median (IQR)</w:t>
            </w:r>
          </w:p>
        </w:tc>
        <w:tc>
          <w:tcPr>
            <w:tcW w:w="977" w:type="pct"/>
            <w:shd w:val="clear" w:color="auto" w:fill="EEECE1" w:themeFill="background2"/>
            <w:vAlign w:val="center"/>
          </w:tcPr>
          <w:p w14:paraId="3079F558" w14:textId="5DE1AE16" w:rsidR="00B44396" w:rsidRPr="00520C7C" w:rsidRDefault="00B44396" w:rsidP="00757342">
            <w:pPr>
              <w:rPr>
                <w:b/>
                <w:sz w:val="20"/>
                <w:szCs w:val="20"/>
              </w:rPr>
            </w:pPr>
            <w:r w:rsidRPr="00520C7C">
              <w:rPr>
                <w:b/>
                <w:sz w:val="20"/>
                <w:szCs w:val="20"/>
              </w:rPr>
              <w:t>Median (IQR)</w:t>
            </w:r>
          </w:p>
        </w:tc>
        <w:tc>
          <w:tcPr>
            <w:tcW w:w="484" w:type="pct"/>
            <w:shd w:val="clear" w:color="auto" w:fill="EEECE1" w:themeFill="background2"/>
            <w:vAlign w:val="center"/>
          </w:tcPr>
          <w:p w14:paraId="51C606FC" w14:textId="77777777" w:rsidR="00B44396" w:rsidRPr="00520C7C" w:rsidRDefault="00B44396" w:rsidP="00757342">
            <w:pPr>
              <w:rPr>
                <w:b/>
                <w:sz w:val="20"/>
                <w:szCs w:val="20"/>
              </w:rPr>
            </w:pPr>
            <w:r w:rsidRPr="00520C7C">
              <w:rPr>
                <w:b/>
                <w:sz w:val="20"/>
                <w:szCs w:val="20"/>
              </w:rPr>
              <w:t>z</w:t>
            </w:r>
          </w:p>
        </w:tc>
        <w:tc>
          <w:tcPr>
            <w:tcW w:w="136" w:type="pct"/>
            <w:vMerge w:val="restart"/>
            <w:shd w:val="clear" w:color="auto" w:fill="EEECE1" w:themeFill="background2"/>
          </w:tcPr>
          <w:p w14:paraId="3506DF78" w14:textId="699E1E8A" w:rsidR="00B44396" w:rsidRPr="00520C7C" w:rsidRDefault="00B44396" w:rsidP="00757342">
            <w:pPr>
              <w:rPr>
                <w:b/>
                <w:sz w:val="20"/>
                <w:szCs w:val="20"/>
              </w:rPr>
            </w:pPr>
          </w:p>
        </w:tc>
        <w:tc>
          <w:tcPr>
            <w:tcW w:w="959" w:type="pct"/>
            <w:shd w:val="clear" w:color="auto" w:fill="EEECE1" w:themeFill="background2"/>
            <w:vAlign w:val="center"/>
          </w:tcPr>
          <w:p w14:paraId="63B7C3FA" w14:textId="4F860D40" w:rsidR="00B44396" w:rsidRPr="00520C7C" w:rsidRDefault="00B44396" w:rsidP="00757342">
            <w:pPr>
              <w:rPr>
                <w:b/>
                <w:sz w:val="20"/>
                <w:szCs w:val="20"/>
              </w:rPr>
            </w:pPr>
            <w:r w:rsidRPr="00520C7C">
              <w:rPr>
                <w:b/>
                <w:sz w:val="20"/>
                <w:szCs w:val="20"/>
              </w:rPr>
              <w:t>Median (IQR)</w:t>
            </w:r>
          </w:p>
        </w:tc>
      </w:tr>
      <w:tr w:rsidR="00520C7C" w:rsidRPr="00520C7C" w14:paraId="7E661BE7" w14:textId="77777777" w:rsidTr="00195DBF">
        <w:trPr>
          <w:trHeight w:val="284"/>
        </w:trPr>
        <w:tc>
          <w:tcPr>
            <w:tcW w:w="1468" w:type="pct"/>
            <w:vMerge/>
            <w:shd w:val="clear" w:color="auto" w:fill="EEECE1" w:themeFill="background2"/>
          </w:tcPr>
          <w:p w14:paraId="68B182DF" w14:textId="1D9F3C43" w:rsidR="00B44396" w:rsidRPr="00520C7C" w:rsidRDefault="00B44396" w:rsidP="00EB555B">
            <w:pPr>
              <w:rPr>
                <w:b/>
                <w:sz w:val="20"/>
                <w:szCs w:val="20"/>
              </w:rPr>
            </w:pPr>
          </w:p>
        </w:tc>
        <w:tc>
          <w:tcPr>
            <w:tcW w:w="975" w:type="pct"/>
            <w:shd w:val="clear" w:color="auto" w:fill="EEECE1" w:themeFill="background2"/>
            <w:vAlign w:val="center"/>
          </w:tcPr>
          <w:p w14:paraId="7CF6A669" w14:textId="77777777" w:rsidR="00B44396" w:rsidRPr="00520C7C" w:rsidRDefault="00B44396" w:rsidP="00757342">
            <w:pPr>
              <w:rPr>
                <w:b/>
                <w:sz w:val="20"/>
                <w:szCs w:val="20"/>
              </w:rPr>
            </w:pPr>
            <w:r w:rsidRPr="00520C7C">
              <w:rPr>
                <w:b/>
                <w:sz w:val="20"/>
                <w:szCs w:val="20"/>
              </w:rPr>
              <w:t>Baseline</w:t>
            </w:r>
          </w:p>
        </w:tc>
        <w:tc>
          <w:tcPr>
            <w:tcW w:w="977" w:type="pct"/>
            <w:shd w:val="clear" w:color="auto" w:fill="EEECE1" w:themeFill="background2"/>
            <w:vAlign w:val="center"/>
          </w:tcPr>
          <w:p w14:paraId="1D5AFE96" w14:textId="1B72E96B" w:rsidR="00B44396" w:rsidRPr="00520C7C" w:rsidRDefault="00B44396" w:rsidP="00757342">
            <w:pPr>
              <w:rPr>
                <w:b/>
                <w:sz w:val="20"/>
                <w:szCs w:val="20"/>
              </w:rPr>
            </w:pPr>
            <w:r w:rsidRPr="00520C7C">
              <w:rPr>
                <w:b/>
                <w:sz w:val="20"/>
                <w:szCs w:val="20"/>
              </w:rPr>
              <w:t>12 weeks</w:t>
            </w:r>
          </w:p>
        </w:tc>
        <w:tc>
          <w:tcPr>
            <w:tcW w:w="484" w:type="pct"/>
            <w:shd w:val="clear" w:color="auto" w:fill="EEECE1" w:themeFill="background2"/>
            <w:vAlign w:val="center"/>
          </w:tcPr>
          <w:p w14:paraId="46E57E75" w14:textId="77777777" w:rsidR="00B44396" w:rsidRPr="00520C7C" w:rsidRDefault="00B44396" w:rsidP="00757342">
            <w:pPr>
              <w:rPr>
                <w:b/>
                <w:sz w:val="20"/>
                <w:szCs w:val="20"/>
              </w:rPr>
            </w:pPr>
          </w:p>
        </w:tc>
        <w:tc>
          <w:tcPr>
            <w:tcW w:w="136" w:type="pct"/>
            <w:vMerge/>
            <w:shd w:val="clear" w:color="auto" w:fill="EEECE1" w:themeFill="background2"/>
          </w:tcPr>
          <w:p w14:paraId="6D3130A8" w14:textId="291C9AC7" w:rsidR="00B44396" w:rsidRPr="00520C7C" w:rsidRDefault="00B44396" w:rsidP="00757342">
            <w:pPr>
              <w:rPr>
                <w:b/>
                <w:sz w:val="20"/>
                <w:szCs w:val="20"/>
              </w:rPr>
            </w:pPr>
          </w:p>
        </w:tc>
        <w:tc>
          <w:tcPr>
            <w:tcW w:w="959" w:type="pct"/>
            <w:shd w:val="clear" w:color="auto" w:fill="EEECE1" w:themeFill="background2"/>
            <w:vAlign w:val="center"/>
          </w:tcPr>
          <w:p w14:paraId="13249B4A" w14:textId="77777777" w:rsidR="00B44396" w:rsidRPr="00520C7C" w:rsidRDefault="00B44396" w:rsidP="00757342">
            <w:pPr>
              <w:rPr>
                <w:b/>
                <w:sz w:val="20"/>
                <w:szCs w:val="20"/>
              </w:rPr>
            </w:pPr>
            <w:r w:rsidRPr="00520C7C">
              <w:rPr>
                <w:b/>
                <w:sz w:val="20"/>
                <w:szCs w:val="20"/>
              </w:rPr>
              <w:t xml:space="preserve">Change </w:t>
            </w:r>
          </w:p>
        </w:tc>
      </w:tr>
      <w:tr w:rsidR="00520C7C" w:rsidRPr="00520C7C" w14:paraId="51B57264" w14:textId="77777777" w:rsidTr="00195DBF">
        <w:trPr>
          <w:trHeight w:val="284"/>
        </w:trPr>
        <w:tc>
          <w:tcPr>
            <w:tcW w:w="5000" w:type="pct"/>
            <w:gridSpan w:val="6"/>
            <w:shd w:val="clear" w:color="auto" w:fill="auto"/>
          </w:tcPr>
          <w:p w14:paraId="2E496BB3" w14:textId="19193D59" w:rsidR="00852F10" w:rsidRPr="00520C7C" w:rsidRDefault="00852F10" w:rsidP="00852F10">
            <w:pPr>
              <w:jc w:val="both"/>
              <w:rPr>
                <w:b/>
                <w:sz w:val="20"/>
                <w:szCs w:val="20"/>
              </w:rPr>
            </w:pPr>
            <w:r w:rsidRPr="00520C7C">
              <w:rPr>
                <w:b/>
                <w:sz w:val="20"/>
                <w:szCs w:val="20"/>
              </w:rPr>
              <w:t xml:space="preserve">Mental wellbeing scale </w:t>
            </w:r>
          </w:p>
        </w:tc>
      </w:tr>
      <w:tr w:rsidR="00520C7C" w:rsidRPr="00520C7C" w14:paraId="602C7EC3" w14:textId="77777777" w:rsidTr="00195DBF">
        <w:trPr>
          <w:trHeight w:val="284"/>
        </w:trPr>
        <w:tc>
          <w:tcPr>
            <w:tcW w:w="1468" w:type="pct"/>
            <w:shd w:val="clear" w:color="auto" w:fill="auto"/>
            <w:vAlign w:val="center"/>
          </w:tcPr>
          <w:p w14:paraId="38F2414B" w14:textId="4EF07718" w:rsidR="00B44396" w:rsidRPr="00520C7C" w:rsidRDefault="00A018D7" w:rsidP="00A018D7">
            <w:pPr>
              <w:rPr>
                <w:sz w:val="20"/>
                <w:szCs w:val="20"/>
              </w:rPr>
            </w:pPr>
            <w:r w:rsidRPr="00520C7C">
              <w:rPr>
                <w:sz w:val="20"/>
                <w:szCs w:val="20"/>
              </w:rPr>
              <w:t>Momenta-F</w:t>
            </w:r>
            <w:r w:rsidR="00B44396" w:rsidRPr="00520C7C">
              <w:rPr>
                <w:sz w:val="20"/>
                <w:szCs w:val="20"/>
              </w:rPr>
              <w:t>itness (n=29)</w:t>
            </w:r>
          </w:p>
        </w:tc>
        <w:tc>
          <w:tcPr>
            <w:tcW w:w="975" w:type="pct"/>
            <w:shd w:val="clear" w:color="auto" w:fill="auto"/>
            <w:vAlign w:val="center"/>
          </w:tcPr>
          <w:p w14:paraId="40BFA15A" w14:textId="40AA3108" w:rsidR="00B44396" w:rsidRPr="00520C7C" w:rsidRDefault="00B44396" w:rsidP="00757342">
            <w:pPr>
              <w:jc w:val="right"/>
              <w:rPr>
                <w:sz w:val="20"/>
                <w:szCs w:val="20"/>
              </w:rPr>
            </w:pPr>
            <w:r w:rsidRPr="00520C7C">
              <w:rPr>
                <w:sz w:val="20"/>
                <w:szCs w:val="20"/>
              </w:rPr>
              <w:t>46.0 (40.0 - 51.5)</w:t>
            </w:r>
          </w:p>
        </w:tc>
        <w:tc>
          <w:tcPr>
            <w:tcW w:w="977" w:type="pct"/>
            <w:shd w:val="clear" w:color="auto" w:fill="auto"/>
            <w:vAlign w:val="center"/>
          </w:tcPr>
          <w:p w14:paraId="129DE200" w14:textId="4C244269" w:rsidR="00B44396" w:rsidRPr="00520C7C" w:rsidRDefault="00B44396" w:rsidP="00757342">
            <w:pPr>
              <w:jc w:val="right"/>
              <w:rPr>
                <w:sz w:val="20"/>
                <w:szCs w:val="20"/>
              </w:rPr>
            </w:pPr>
            <w:r w:rsidRPr="00520C7C">
              <w:rPr>
                <w:sz w:val="20"/>
                <w:szCs w:val="20"/>
              </w:rPr>
              <w:t>53.0 (40.0 - 51.5)</w:t>
            </w:r>
          </w:p>
        </w:tc>
        <w:tc>
          <w:tcPr>
            <w:tcW w:w="484" w:type="pct"/>
            <w:shd w:val="clear" w:color="auto" w:fill="auto"/>
            <w:vAlign w:val="center"/>
          </w:tcPr>
          <w:p w14:paraId="4DF3C77B" w14:textId="77777777" w:rsidR="00B44396" w:rsidRPr="00520C7C" w:rsidRDefault="00B44396" w:rsidP="00757342">
            <w:pPr>
              <w:jc w:val="right"/>
              <w:rPr>
                <w:sz w:val="20"/>
                <w:szCs w:val="20"/>
              </w:rPr>
            </w:pPr>
            <w:r w:rsidRPr="00520C7C">
              <w:rPr>
                <w:sz w:val="20"/>
                <w:szCs w:val="20"/>
              </w:rPr>
              <w:t>3.810</w:t>
            </w:r>
          </w:p>
        </w:tc>
        <w:tc>
          <w:tcPr>
            <w:tcW w:w="136" w:type="pct"/>
          </w:tcPr>
          <w:p w14:paraId="1C389D57" w14:textId="17642BBE" w:rsidR="00B44396" w:rsidRPr="00520C7C" w:rsidRDefault="00B44396" w:rsidP="00757342">
            <w:pPr>
              <w:jc w:val="right"/>
              <w:rPr>
                <w:sz w:val="20"/>
                <w:szCs w:val="20"/>
              </w:rPr>
            </w:pPr>
          </w:p>
        </w:tc>
        <w:tc>
          <w:tcPr>
            <w:tcW w:w="959" w:type="pct"/>
            <w:shd w:val="clear" w:color="auto" w:fill="auto"/>
            <w:vAlign w:val="center"/>
          </w:tcPr>
          <w:p w14:paraId="42F8DC69" w14:textId="687265FB" w:rsidR="00B44396" w:rsidRPr="00520C7C" w:rsidRDefault="00B44396" w:rsidP="00195DBF">
            <w:pPr>
              <w:rPr>
                <w:sz w:val="20"/>
                <w:szCs w:val="20"/>
              </w:rPr>
            </w:pPr>
            <w:r w:rsidRPr="00520C7C">
              <w:rPr>
                <w:sz w:val="20"/>
                <w:szCs w:val="20"/>
              </w:rPr>
              <w:t>5.0 (1.5 - 12.0)</w:t>
            </w:r>
          </w:p>
        </w:tc>
      </w:tr>
      <w:tr w:rsidR="00520C7C" w:rsidRPr="00520C7C" w14:paraId="38118F63" w14:textId="77777777" w:rsidTr="00195DBF">
        <w:trPr>
          <w:trHeight w:val="284"/>
        </w:trPr>
        <w:tc>
          <w:tcPr>
            <w:tcW w:w="1468" w:type="pct"/>
            <w:shd w:val="clear" w:color="auto" w:fill="auto"/>
            <w:vAlign w:val="center"/>
          </w:tcPr>
          <w:p w14:paraId="2607D7C8" w14:textId="77777777" w:rsidR="00B44396" w:rsidRPr="00520C7C" w:rsidRDefault="00B44396" w:rsidP="00EB555B">
            <w:pPr>
              <w:rPr>
                <w:sz w:val="20"/>
                <w:szCs w:val="20"/>
              </w:rPr>
            </w:pPr>
            <w:r w:rsidRPr="00520C7C">
              <w:rPr>
                <w:sz w:val="20"/>
                <w:szCs w:val="20"/>
              </w:rPr>
              <w:t>Momenta only (n=23)</w:t>
            </w:r>
          </w:p>
        </w:tc>
        <w:tc>
          <w:tcPr>
            <w:tcW w:w="975" w:type="pct"/>
            <w:shd w:val="clear" w:color="auto" w:fill="auto"/>
            <w:vAlign w:val="center"/>
          </w:tcPr>
          <w:p w14:paraId="15EDDE70" w14:textId="5909196F" w:rsidR="00B44396" w:rsidRPr="00520C7C" w:rsidRDefault="00B44396" w:rsidP="00757342">
            <w:pPr>
              <w:jc w:val="right"/>
              <w:rPr>
                <w:sz w:val="20"/>
                <w:szCs w:val="20"/>
              </w:rPr>
            </w:pPr>
            <w:r w:rsidRPr="00520C7C">
              <w:rPr>
                <w:sz w:val="20"/>
                <w:szCs w:val="20"/>
              </w:rPr>
              <w:t>49.0 (39.0 - 58.0)</w:t>
            </w:r>
          </w:p>
        </w:tc>
        <w:tc>
          <w:tcPr>
            <w:tcW w:w="977" w:type="pct"/>
            <w:shd w:val="clear" w:color="auto" w:fill="auto"/>
            <w:vAlign w:val="center"/>
          </w:tcPr>
          <w:p w14:paraId="617B2CCD" w14:textId="7FD0121A" w:rsidR="00B44396" w:rsidRPr="00520C7C" w:rsidRDefault="00B44396" w:rsidP="00757342">
            <w:pPr>
              <w:jc w:val="right"/>
              <w:rPr>
                <w:sz w:val="20"/>
                <w:szCs w:val="20"/>
              </w:rPr>
            </w:pPr>
            <w:r w:rsidRPr="00520C7C">
              <w:rPr>
                <w:sz w:val="20"/>
                <w:szCs w:val="20"/>
              </w:rPr>
              <w:t>55.0 (51.0 - 63.0)</w:t>
            </w:r>
          </w:p>
        </w:tc>
        <w:tc>
          <w:tcPr>
            <w:tcW w:w="484" w:type="pct"/>
            <w:shd w:val="clear" w:color="auto" w:fill="auto"/>
            <w:vAlign w:val="center"/>
          </w:tcPr>
          <w:p w14:paraId="4D72A491" w14:textId="77777777" w:rsidR="00B44396" w:rsidRPr="00520C7C" w:rsidRDefault="00B44396" w:rsidP="00757342">
            <w:pPr>
              <w:jc w:val="right"/>
              <w:rPr>
                <w:sz w:val="20"/>
                <w:szCs w:val="20"/>
              </w:rPr>
            </w:pPr>
            <w:r w:rsidRPr="00520C7C">
              <w:rPr>
                <w:sz w:val="20"/>
                <w:szCs w:val="20"/>
              </w:rPr>
              <w:t>2.818</w:t>
            </w:r>
          </w:p>
        </w:tc>
        <w:tc>
          <w:tcPr>
            <w:tcW w:w="136" w:type="pct"/>
          </w:tcPr>
          <w:p w14:paraId="42201E53" w14:textId="78EECDAB" w:rsidR="00B44396" w:rsidRPr="00520C7C" w:rsidRDefault="00B44396" w:rsidP="00757342">
            <w:pPr>
              <w:jc w:val="right"/>
              <w:rPr>
                <w:sz w:val="20"/>
                <w:szCs w:val="20"/>
              </w:rPr>
            </w:pPr>
          </w:p>
        </w:tc>
        <w:tc>
          <w:tcPr>
            <w:tcW w:w="959" w:type="pct"/>
            <w:shd w:val="clear" w:color="auto" w:fill="auto"/>
            <w:vAlign w:val="center"/>
          </w:tcPr>
          <w:p w14:paraId="65383336" w14:textId="77777777" w:rsidR="00B44396" w:rsidRPr="00520C7C" w:rsidRDefault="00B44396" w:rsidP="00195DBF">
            <w:pPr>
              <w:rPr>
                <w:sz w:val="20"/>
                <w:szCs w:val="20"/>
              </w:rPr>
            </w:pPr>
            <w:r w:rsidRPr="00520C7C">
              <w:rPr>
                <w:sz w:val="20"/>
                <w:szCs w:val="20"/>
              </w:rPr>
              <w:t>6.0 (-1.0 - 10.0)</w:t>
            </w:r>
          </w:p>
        </w:tc>
      </w:tr>
      <w:tr w:rsidR="00520C7C" w:rsidRPr="00520C7C" w14:paraId="07C7DC7A" w14:textId="77777777" w:rsidTr="00195DBF">
        <w:trPr>
          <w:trHeight w:val="284"/>
        </w:trPr>
        <w:tc>
          <w:tcPr>
            <w:tcW w:w="1468" w:type="pct"/>
            <w:shd w:val="clear" w:color="auto" w:fill="auto"/>
            <w:vAlign w:val="center"/>
          </w:tcPr>
          <w:p w14:paraId="14B68A9B" w14:textId="240964FE" w:rsidR="00B44396" w:rsidRPr="00520C7C" w:rsidRDefault="00B44396" w:rsidP="00EB555B">
            <w:pPr>
              <w:rPr>
                <w:sz w:val="20"/>
                <w:szCs w:val="20"/>
              </w:rPr>
            </w:pPr>
            <w:r w:rsidRPr="00520C7C">
              <w:rPr>
                <w:sz w:val="20"/>
                <w:szCs w:val="20"/>
              </w:rPr>
              <w:t>Fitness only (n=13)</w:t>
            </w:r>
          </w:p>
        </w:tc>
        <w:tc>
          <w:tcPr>
            <w:tcW w:w="975" w:type="pct"/>
            <w:shd w:val="clear" w:color="auto" w:fill="auto"/>
            <w:vAlign w:val="center"/>
          </w:tcPr>
          <w:p w14:paraId="39F01448" w14:textId="450D14FF" w:rsidR="00B44396" w:rsidRPr="00520C7C" w:rsidRDefault="00B44396" w:rsidP="00757342">
            <w:pPr>
              <w:jc w:val="right"/>
              <w:rPr>
                <w:sz w:val="20"/>
                <w:szCs w:val="20"/>
              </w:rPr>
            </w:pPr>
            <w:r w:rsidRPr="00520C7C">
              <w:rPr>
                <w:sz w:val="20"/>
                <w:szCs w:val="20"/>
              </w:rPr>
              <w:t>47.0 (40.5 - 59.5)</w:t>
            </w:r>
          </w:p>
        </w:tc>
        <w:tc>
          <w:tcPr>
            <w:tcW w:w="977" w:type="pct"/>
            <w:shd w:val="clear" w:color="auto" w:fill="auto"/>
            <w:vAlign w:val="center"/>
          </w:tcPr>
          <w:p w14:paraId="4A46DBEE" w14:textId="6C536109" w:rsidR="00B44396" w:rsidRPr="00520C7C" w:rsidRDefault="00B44396" w:rsidP="00757342">
            <w:pPr>
              <w:jc w:val="right"/>
              <w:rPr>
                <w:sz w:val="20"/>
                <w:szCs w:val="20"/>
              </w:rPr>
            </w:pPr>
            <w:r w:rsidRPr="00520C7C">
              <w:rPr>
                <w:sz w:val="20"/>
                <w:szCs w:val="20"/>
              </w:rPr>
              <w:t>46.0 (42.0 - 63.5)</w:t>
            </w:r>
          </w:p>
        </w:tc>
        <w:tc>
          <w:tcPr>
            <w:tcW w:w="484" w:type="pct"/>
            <w:shd w:val="clear" w:color="auto" w:fill="auto"/>
            <w:vAlign w:val="center"/>
          </w:tcPr>
          <w:p w14:paraId="1B702822" w14:textId="77777777" w:rsidR="00B44396" w:rsidRPr="00520C7C" w:rsidRDefault="00B44396" w:rsidP="00757342">
            <w:pPr>
              <w:jc w:val="right"/>
              <w:rPr>
                <w:sz w:val="20"/>
                <w:szCs w:val="20"/>
              </w:rPr>
            </w:pPr>
            <w:r w:rsidRPr="00520C7C">
              <w:rPr>
                <w:sz w:val="20"/>
                <w:szCs w:val="20"/>
              </w:rPr>
              <w:t>0.157</w:t>
            </w:r>
          </w:p>
        </w:tc>
        <w:tc>
          <w:tcPr>
            <w:tcW w:w="136" w:type="pct"/>
          </w:tcPr>
          <w:p w14:paraId="38C05EB1" w14:textId="7C551B6B" w:rsidR="00B44396" w:rsidRPr="00520C7C" w:rsidRDefault="00B44396" w:rsidP="00757342">
            <w:pPr>
              <w:jc w:val="right"/>
              <w:rPr>
                <w:sz w:val="20"/>
                <w:szCs w:val="20"/>
              </w:rPr>
            </w:pPr>
          </w:p>
        </w:tc>
        <w:tc>
          <w:tcPr>
            <w:tcW w:w="959" w:type="pct"/>
            <w:shd w:val="clear" w:color="auto" w:fill="auto"/>
            <w:vAlign w:val="center"/>
          </w:tcPr>
          <w:p w14:paraId="46FD8AEF" w14:textId="3F7D737A" w:rsidR="00B44396" w:rsidRPr="00520C7C" w:rsidRDefault="00B44396" w:rsidP="00195DBF">
            <w:pPr>
              <w:rPr>
                <w:sz w:val="20"/>
                <w:szCs w:val="20"/>
              </w:rPr>
            </w:pPr>
            <w:r w:rsidRPr="00520C7C">
              <w:rPr>
                <w:sz w:val="20"/>
                <w:szCs w:val="20"/>
              </w:rPr>
              <w:t>0.0 (-4.0 - 5.0)</w:t>
            </w:r>
          </w:p>
        </w:tc>
      </w:tr>
      <w:tr w:rsidR="00520C7C" w:rsidRPr="00520C7C" w14:paraId="5CAD0747" w14:textId="77777777" w:rsidTr="00195DBF">
        <w:trPr>
          <w:trHeight w:val="284"/>
        </w:trPr>
        <w:tc>
          <w:tcPr>
            <w:tcW w:w="5000" w:type="pct"/>
            <w:gridSpan w:val="6"/>
            <w:shd w:val="clear" w:color="auto" w:fill="auto"/>
          </w:tcPr>
          <w:p w14:paraId="1961EC25" w14:textId="26FEB938" w:rsidR="00852F10" w:rsidRPr="00520C7C" w:rsidRDefault="00852F10" w:rsidP="00EB555B">
            <w:pPr>
              <w:rPr>
                <w:b/>
                <w:bCs/>
                <w:sz w:val="20"/>
                <w:szCs w:val="20"/>
              </w:rPr>
            </w:pPr>
            <w:r w:rsidRPr="00520C7C">
              <w:rPr>
                <w:b/>
                <w:bCs/>
                <w:sz w:val="20"/>
                <w:szCs w:val="20"/>
              </w:rPr>
              <w:t>Anxiety scale</w:t>
            </w:r>
          </w:p>
        </w:tc>
      </w:tr>
      <w:tr w:rsidR="00520C7C" w:rsidRPr="00520C7C" w14:paraId="5C6B81CF" w14:textId="77777777" w:rsidTr="00195DBF">
        <w:trPr>
          <w:trHeight w:val="284"/>
        </w:trPr>
        <w:tc>
          <w:tcPr>
            <w:tcW w:w="1468" w:type="pct"/>
            <w:shd w:val="clear" w:color="auto" w:fill="auto"/>
            <w:vAlign w:val="center"/>
          </w:tcPr>
          <w:p w14:paraId="74FD25B4" w14:textId="0AD4C7A0" w:rsidR="00B44396" w:rsidRPr="00520C7C" w:rsidRDefault="00A018D7" w:rsidP="00A018D7">
            <w:pPr>
              <w:rPr>
                <w:sz w:val="20"/>
                <w:szCs w:val="20"/>
              </w:rPr>
            </w:pPr>
            <w:r w:rsidRPr="00520C7C">
              <w:rPr>
                <w:sz w:val="20"/>
                <w:szCs w:val="20"/>
              </w:rPr>
              <w:t>Momenta-F</w:t>
            </w:r>
            <w:r w:rsidR="00B44396" w:rsidRPr="00520C7C">
              <w:rPr>
                <w:sz w:val="20"/>
                <w:szCs w:val="20"/>
              </w:rPr>
              <w:t>itness (n=28)</w:t>
            </w:r>
          </w:p>
        </w:tc>
        <w:tc>
          <w:tcPr>
            <w:tcW w:w="975" w:type="pct"/>
            <w:shd w:val="clear" w:color="auto" w:fill="auto"/>
            <w:vAlign w:val="center"/>
          </w:tcPr>
          <w:p w14:paraId="2E9C4E59" w14:textId="41D01A1D" w:rsidR="00B44396" w:rsidRPr="00520C7C" w:rsidRDefault="00B44396" w:rsidP="00757342">
            <w:pPr>
              <w:jc w:val="right"/>
              <w:rPr>
                <w:sz w:val="20"/>
                <w:szCs w:val="20"/>
              </w:rPr>
            </w:pPr>
            <w:r w:rsidRPr="00520C7C">
              <w:rPr>
                <w:sz w:val="20"/>
                <w:szCs w:val="20"/>
              </w:rPr>
              <w:t>5.5 (4.0 - 9.8)</w:t>
            </w:r>
          </w:p>
        </w:tc>
        <w:tc>
          <w:tcPr>
            <w:tcW w:w="977" w:type="pct"/>
            <w:shd w:val="clear" w:color="auto" w:fill="auto"/>
            <w:vAlign w:val="center"/>
          </w:tcPr>
          <w:p w14:paraId="3D766BCC" w14:textId="18BC6463" w:rsidR="00B44396" w:rsidRPr="00520C7C" w:rsidRDefault="00B44396" w:rsidP="00757342">
            <w:pPr>
              <w:jc w:val="right"/>
              <w:rPr>
                <w:sz w:val="20"/>
                <w:szCs w:val="20"/>
              </w:rPr>
            </w:pPr>
            <w:r w:rsidRPr="00520C7C">
              <w:rPr>
                <w:sz w:val="20"/>
                <w:szCs w:val="20"/>
              </w:rPr>
              <w:t>4.5 (2.0 - 7.0)</w:t>
            </w:r>
          </w:p>
        </w:tc>
        <w:tc>
          <w:tcPr>
            <w:tcW w:w="484" w:type="pct"/>
            <w:shd w:val="clear" w:color="auto" w:fill="auto"/>
            <w:vAlign w:val="center"/>
          </w:tcPr>
          <w:p w14:paraId="0312452F" w14:textId="77777777" w:rsidR="00B44396" w:rsidRPr="00520C7C" w:rsidRDefault="00B44396" w:rsidP="00757342">
            <w:pPr>
              <w:jc w:val="right"/>
              <w:rPr>
                <w:sz w:val="20"/>
                <w:szCs w:val="20"/>
              </w:rPr>
            </w:pPr>
            <w:r w:rsidRPr="00520C7C">
              <w:rPr>
                <w:sz w:val="20"/>
                <w:szCs w:val="20"/>
              </w:rPr>
              <w:t>-3.027</w:t>
            </w:r>
          </w:p>
        </w:tc>
        <w:tc>
          <w:tcPr>
            <w:tcW w:w="136" w:type="pct"/>
          </w:tcPr>
          <w:p w14:paraId="6EF4C7E8" w14:textId="1CD8D5E4" w:rsidR="00B44396" w:rsidRPr="00520C7C" w:rsidRDefault="00B44396" w:rsidP="00757342">
            <w:pPr>
              <w:jc w:val="right"/>
              <w:rPr>
                <w:sz w:val="20"/>
                <w:szCs w:val="20"/>
              </w:rPr>
            </w:pPr>
          </w:p>
        </w:tc>
        <w:tc>
          <w:tcPr>
            <w:tcW w:w="959" w:type="pct"/>
            <w:shd w:val="clear" w:color="auto" w:fill="auto"/>
            <w:vAlign w:val="center"/>
          </w:tcPr>
          <w:p w14:paraId="3FA5F317" w14:textId="70E86059" w:rsidR="00B44396" w:rsidRPr="00520C7C" w:rsidRDefault="00B44396" w:rsidP="00195DBF">
            <w:pPr>
              <w:rPr>
                <w:sz w:val="20"/>
                <w:szCs w:val="20"/>
              </w:rPr>
            </w:pPr>
            <w:r w:rsidRPr="00520C7C">
              <w:rPr>
                <w:sz w:val="20"/>
                <w:szCs w:val="20"/>
              </w:rPr>
              <w:t>-1.0 (-3.0 - 1.0)</w:t>
            </w:r>
          </w:p>
        </w:tc>
      </w:tr>
      <w:tr w:rsidR="00520C7C" w:rsidRPr="00520C7C" w14:paraId="35FAF859" w14:textId="77777777" w:rsidTr="00195DBF">
        <w:trPr>
          <w:trHeight w:val="284"/>
        </w:trPr>
        <w:tc>
          <w:tcPr>
            <w:tcW w:w="1468" w:type="pct"/>
            <w:shd w:val="clear" w:color="auto" w:fill="auto"/>
            <w:vAlign w:val="center"/>
          </w:tcPr>
          <w:p w14:paraId="235FD4D7" w14:textId="77777777" w:rsidR="00B44396" w:rsidRPr="00520C7C" w:rsidRDefault="00B44396" w:rsidP="00EB555B">
            <w:pPr>
              <w:rPr>
                <w:sz w:val="20"/>
                <w:szCs w:val="20"/>
              </w:rPr>
            </w:pPr>
            <w:r w:rsidRPr="00520C7C">
              <w:rPr>
                <w:sz w:val="20"/>
                <w:szCs w:val="20"/>
              </w:rPr>
              <w:t>Momenta only (n=23)</w:t>
            </w:r>
          </w:p>
        </w:tc>
        <w:tc>
          <w:tcPr>
            <w:tcW w:w="975" w:type="pct"/>
            <w:shd w:val="clear" w:color="auto" w:fill="auto"/>
            <w:vAlign w:val="center"/>
          </w:tcPr>
          <w:p w14:paraId="2E751280" w14:textId="11614843" w:rsidR="00B44396" w:rsidRPr="00520C7C" w:rsidRDefault="00B44396" w:rsidP="00757342">
            <w:pPr>
              <w:jc w:val="right"/>
              <w:rPr>
                <w:sz w:val="20"/>
                <w:szCs w:val="20"/>
              </w:rPr>
            </w:pPr>
            <w:r w:rsidRPr="00520C7C">
              <w:rPr>
                <w:sz w:val="20"/>
                <w:szCs w:val="20"/>
              </w:rPr>
              <w:t>8.0 (6.0 - 10.0)</w:t>
            </w:r>
          </w:p>
        </w:tc>
        <w:tc>
          <w:tcPr>
            <w:tcW w:w="977" w:type="pct"/>
            <w:shd w:val="clear" w:color="auto" w:fill="auto"/>
            <w:vAlign w:val="center"/>
          </w:tcPr>
          <w:p w14:paraId="5C537C89" w14:textId="29BFB7E1" w:rsidR="00B44396" w:rsidRPr="00520C7C" w:rsidRDefault="00B44396" w:rsidP="00757342">
            <w:pPr>
              <w:jc w:val="right"/>
              <w:rPr>
                <w:sz w:val="20"/>
                <w:szCs w:val="20"/>
              </w:rPr>
            </w:pPr>
            <w:r w:rsidRPr="00520C7C">
              <w:rPr>
                <w:sz w:val="20"/>
                <w:szCs w:val="20"/>
              </w:rPr>
              <w:t>4.0 (2.5 - 9.0)</w:t>
            </w:r>
          </w:p>
        </w:tc>
        <w:tc>
          <w:tcPr>
            <w:tcW w:w="484" w:type="pct"/>
            <w:shd w:val="clear" w:color="auto" w:fill="auto"/>
            <w:vAlign w:val="center"/>
          </w:tcPr>
          <w:p w14:paraId="09DD6AEA" w14:textId="77777777" w:rsidR="00B44396" w:rsidRPr="00520C7C" w:rsidRDefault="00B44396" w:rsidP="00757342">
            <w:pPr>
              <w:jc w:val="right"/>
              <w:rPr>
                <w:sz w:val="20"/>
                <w:szCs w:val="20"/>
              </w:rPr>
            </w:pPr>
            <w:r w:rsidRPr="00520C7C">
              <w:rPr>
                <w:sz w:val="20"/>
                <w:szCs w:val="20"/>
              </w:rPr>
              <w:t>-2.329</w:t>
            </w:r>
          </w:p>
        </w:tc>
        <w:tc>
          <w:tcPr>
            <w:tcW w:w="136" w:type="pct"/>
          </w:tcPr>
          <w:p w14:paraId="0E5B5001" w14:textId="459252A3" w:rsidR="00B44396" w:rsidRPr="00520C7C" w:rsidRDefault="00B44396" w:rsidP="00757342">
            <w:pPr>
              <w:jc w:val="right"/>
              <w:rPr>
                <w:sz w:val="20"/>
                <w:szCs w:val="20"/>
              </w:rPr>
            </w:pPr>
          </w:p>
        </w:tc>
        <w:tc>
          <w:tcPr>
            <w:tcW w:w="959" w:type="pct"/>
            <w:shd w:val="clear" w:color="auto" w:fill="auto"/>
            <w:vAlign w:val="center"/>
          </w:tcPr>
          <w:p w14:paraId="6018E44B" w14:textId="230DD230" w:rsidR="00B44396" w:rsidRPr="00520C7C" w:rsidRDefault="00B44396" w:rsidP="00195DBF">
            <w:pPr>
              <w:rPr>
                <w:sz w:val="20"/>
                <w:szCs w:val="20"/>
              </w:rPr>
            </w:pPr>
            <w:r w:rsidRPr="00520C7C">
              <w:rPr>
                <w:sz w:val="20"/>
                <w:szCs w:val="20"/>
              </w:rPr>
              <w:t>-1.0 (-3.0 - 0.0)</w:t>
            </w:r>
          </w:p>
        </w:tc>
      </w:tr>
      <w:tr w:rsidR="00520C7C" w:rsidRPr="00520C7C" w14:paraId="16B6521F" w14:textId="77777777" w:rsidTr="00195DBF">
        <w:trPr>
          <w:trHeight w:val="284"/>
        </w:trPr>
        <w:tc>
          <w:tcPr>
            <w:tcW w:w="1468" w:type="pct"/>
            <w:shd w:val="clear" w:color="auto" w:fill="auto"/>
            <w:vAlign w:val="center"/>
          </w:tcPr>
          <w:p w14:paraId="781645C5" w14:textId="7620897F" w:rsidR="00B44396" w:rsidRPr="00520C7C" w:rsidRDefault="00B44396" w:rsidP="00EB555B">
            <w:pPr>
              <w:rPr>
                <w:sz w:val="20"/>
                <w:szCs w:val="20"/>
              </w:rPr>
            </w:pPr>
            <w:r w:rsidRPr="00520C7C">
              <w:rPr>
                <w:sz w:val="20"/>
                <w:szCs w:val="20"/>
              </w:rPr>
              <w:t>Fitness only (n=13)</w:t>
            </w:r>
          </w:p>
        </w:tc>
        <w:tc>
          <w:tcPr>
            <w:tcW w:w="975" w:type="pct"/>
            <w:shd w:val="clear" w:color="auto" w:fill="auto"/>
            <w:vAlign w:val="center"/>
          </w:tcPr>
          <w:p w14:paraId="097F95CC" w14:textId="27E22831" w:rsidR="00B44396" w:rsidRPr="00520C7C" w:rsidRDefault="00B44396" w:rsidP="00757342">
            <w:pPr>
              <w:jc w:val="right"/>
              <w:rPr>
                <w:sz w:val="20"/>
                <w:szCs w:val="20"/>
              </w:rPr>
            </w:pPr>
            <w:r w:rsidRPr="00520C7C">
              <w:rPr>
                <w:sz w:val="20"/>
                <w:szCs w:val="20"/>
              </w:rPr>
              <w:t>8.0 (3.5 - 10.0)</w:t>
            </w:r>
          </w:p>
        </w:tc>
        <w:tc>
          <w:tcPr>
            <w:tcW w:w="977" w:type="pct"/>
            <w:shd w:val="clear" w:color="auto" w:fill="auto"/>
            <w:vAlign w:val="center"/>
          </w:tcPr>
          <w:p w14:paraId="7EA27711" w14:textId="55BE7E32" w:rsidR="00B44396" w:rsidRPr="00520C7C" w:rsidRDefault="00B44396" w:rsidP="00757342">
            <w:pPr>
              <w:jc w:val="right"/>
              <w:rPr>
                <w:sz w:val="20"/>
                <w:szCs w:val="20"/>
              </w:rPr>
            </w:pPr>
            <w:r w:rsidRPr="00520C7C">
              <w:rPr>
                <w:sz w:val="20"/>
                <w:szCs w:val="20"/>
              </w:rPr>
              <w:t>6.0 (4.0 - 9.0)</w:t>
            </w:r>
          </w:p>
        </w:tc>
        <w:tc>
          <w:tcPr>
            <w:tcW w:w="484" w:type="pct"/>
            <w:shd w:val="clear" w:color="auto" w:fill="auto"/>
            <w:vAlign w:val="center"/>
          </w:tcPr>
          <w:p w14:paraId="39BEBDB7" w14:textId="77777777" w:rsidR="00B44396" w:rsidRPr="00520C7C" w:rsidRDefault="00B44396" w:rsidP="00757342">
            <w:pPr>
              <w:jc w:val="right"/>
              <w:rPr>
                <w:sz w:val="20"/>
                <w:szCs w:val="20"/>
              </w:rPr>
            </w:pPr>
            <w:r w:rsidRPr="00520C7C">
              <w:rPr>
                <w:sz w:val="20"/>
                <w:szCs w:val="20"/>
              </w:rPr>
              <w:t>-0.499</w:t>
            </w:r>
          </w:p>
        </w:tc>
        <w:tc>
          <w:tcPr>
            <w:tcW w:w="136" w:type="pct"/>
          </w:tcPr>
          <w:p w14:paraId="6580D6BE" w14:textId="197903A5" w:rsidR="00B44396" w:rsidRPr="00520C7C" w:rsidRDefault="00B44396" w:rsidP="00757342">
            <w:pPr>
              <w:jc w:val="right"/>
              <w:rPr>
                <w:sz w:val="20"/>
                <w:szCs w:val="20"/>
              </w:rPr>
            </w:pPr>
          </w:p>
        </w:tc>
        <w:tc>
          <w:tcPr>
            <w:tcW w:w="959" w:type="pct"/>
            <w:shd w:val="clear" w:color="auto" w:fill="auto"/>
            <w:vAlign w:val="center"/>
          </w:tcPr>
          <w:p w14:paraId="1ABB18E2" w14:textId="4D74789D" w:rsidR="00B44396" w:rsidRPr="00520C7C" w:rsidRDefault="00B44396" w:rsidP="00195DBF">
            <w:pPr>
              <w:rPr>
                <w:sz w:val="20"/>
                <w:szCs w:val="20"/>
              </w:rPr>
            </w:pPr>
            <w:r w:rsidRPr="00520C7C">
              <w:rPr>
                <w:sz w:val="20"/>
                <w:szCs w:val="20"/>
              </w:rPr>
              <w:t>-1.0 (-2.0 - 2.0)</w:t>
            </w:r>
          </w:p>
        </w:tc>
      </w:tr>
      <w:tr w:rsidR="00520C7C" w:rsidRPr="00520C7C" w14:paraId="240DBD9D" w14:textId="77777777" w:rsidTr="00195DBF">
        <w:trPr>
          <w:trHeight w:val="284"/>
        </w:trPr>
        <w:tc>
          <w:tcPr>
            <w:tcW w:w="5000" w:type="pct"/>
            <w:gridSpan w:val="6"/>
            <w:shd w:val="clear" w:color="auto" w:fill="auto"/>
          </w:tcPr>
          <w:p w14:paraId="6B7935B1" w14:textId="64C7E3B7" w:rsidR="00852F10" w:rsidRPr="00520C7C" w:rsidRDefault="00852F10" w:rsidP="00EB555B">
            <w:pPr>
              <w:rPr>
                <w:sz w:val="20"/>
                <w:szCs w:val="20"/>
              </w:rPr>
            </w:pPr>
            <w:r w:rsidRPr="00520C7C">
              <w:rPr>
                <w:b/>
                <w:sz w:val="20"/>
                <w:szCs w:val="20"/>
              </w:rPr>
              <w:t>Depression scale</w:t>
            </w:r>
          </w:p>
        </w:tc>
      </w:tr>
      <w:tr w:rsidR="00520C7C" w:rsidRPr="00520C7C" w14:paraId="4024D02A" w14:textId="77777777" w:rsidTr="00195DBF">
        <w:trPr>
          <w:trHeight w:val="284"/>
        </w:trPr>
        <w:tc>
          <w:tcPr>
            <w:tcW w:w="1468" w:type="pct"/>
            <w:shd w:val="clear" w:color="auto" w:fill="auto"/>
            <w:vAlign w:val="center"/>
          </w:tcPr>
          <w:p w14:paraId="3E3002AE" w14:textId="4920CCE0" w:rsidR="00B44396" w:rsidRPr="00520C7C" w:rsidRDefault="00A018D7" w:rsidP="00006300">
            <w:pPr>
              <w:rPr>
                <w:sz w:val="20"/>
                <w:szCs w:val="20"/>
              </w:rPr>
            </w:pPr>
            <w:r w:rsidRPr="00520C7C">
              <w:rPr>
                <w:sz w:val="20"/>
                <w:szCs w:val="20"/>
              </w:rPr>
              <w:t>Momenta-</w:t>
            </w:r>
            <w:r w:rsidR="00006300" w:rsidRPr="00520C7C">
              <w:rPr>
                <w:sz w:val="20"/>
                <w:szCs w:val="20"/>
              </w:rPr>
              <w:t>F</w:t>
            </w:r>
            <w:r w:rsidR="00B44396" w:rsidRPr="00520C7C">
              <w:rPr>
                <w:sz w:val="20"/>
                <w:szCs w:val="20"/>
              </w:rPr>
              <w:t>itness (n=28)</w:t>
            </w:r>
          </w:p>
        </w:tc>
        <w:tc>
          <w:tcPr>
            <w:tcW w:w="975" w:type="pct"/>
            <w:shd w:val="clear" w:color="auto" w:fill="auto"/>
            <w:vAlign w:val="center"/>
          </w:tcPr>
          <w:p w14:paraId="52E3B476" w14:textId="073F779C" w:rsidR="00B44396" w:rsidRPr="00520C7C" w:rsidRDefault="00B44396" w:rsidP="00757342">
            <w:pPr>
              <w:jc w:val="right"/>
              <w:rPr>
                <w:sz w:val="20"/>
                <w:szCs w:val="20"/>
              </w:rPr>
            </w:pPr>
            <w:r w:rsidRPr="00520C7C">
              <w:rPr>
                <w:sz w:val="20"/>
                <w:szCs w:val="20"/>
              </w:rPr>
              <w:t>5.5 (3.3 - 8.0)</w:t>
            </w:r>
          </w:p>
        </w:tc>
        <w:tc>
          <w:tcPr>
            <w:tcW w:w="977" w:type="pct"/>
            <w:shd w:val="clear" w:color="auto" w:fill="auto"/>
            <w:vAlign w:val="center"/>
          </w:tcPr>
          <w:p w14:paraId="048EF840" w14:textId="73A0BFFE" w:rsidR="00B44396" w:rsidRPr="00520C7C" w:rsidRDefault="00B44396" w:rsidP="00757342">
            <w:pPr>
              <w:jc w:val="right"/>
              <w:rPr>
                <w:sz w:val="20"/>
                <w:szCs w:val="20"/>
              </w:rPr>
            </w:pPr>
            <w:r w:rsidRPr="00520C7C">
              <w:rPr>
                <w:sz w:val="20"/>
                <w:szCs w:val="20"/>
              </w:rPr>
              <w:t>2.0 (1.0 - 6.0)</w:t>
            </w:r>
          </w:p>
        </w:tc>
        <w:tc>
          <w:tcPr>
            <w:tcW w:w="484" w:type="pct"/>
            <w:shd w:val="clear" w:color="auto" w:fill="auto"/>
            <w:vAlign w:val="center"/>
          </w:tcPr>
          <w:p w14:paraId="7BD65982" w14:textId="77777777" w:rsidR="00B44396" w:rsidRPr="00520C7C" w:rsidRDefault="00B44396" w:rsidP="00757342">
            <w:pPr>
              <w:jc w:val="right"/>
              <w:rPr>
                <w:sz w:val="20"/>
                <w:szCs w:val="20"/>
              </w:rPr>
            </w:pPr>
            <w:r w:rsidRPr="00520C7C">
              <w:rPr>
                <w:sz w:val="20"/>
                <w:szCs w:val="20"/>
              </w:rPr>
              <w:t>-3.214</w:t>
            </w:r>
          </w:p>
        </w:tc>
        <w:tc>
          <w:tcPr>
            <w:tcW w:w="136" w:type="pct"/>
          </w:tcPr>
          <w:p w14:paraId="6934BB26" w14:textId="5C3FFC52" w:rsidR="00B44396" w:rsidRPr="00520C7C" w:rsidRDefault="00B44396" w:rsidP="00757342">
            <w:pPr>
              <w:jc w:val="right"/>
              <w:rPr>
                <w:sz w:val="20"/>
                <w:szCs w:val="20"/>
              </w:rPr>
            </w:pPr>
          </w:p>
        </w:tc>
        <w:tc>
          <w:tcPr>
            <w:tcW w:w="959" w:type="pct"/>
            <w:shd w:val="clear" w:color="auto" w:fill="auto"/>
            <w:vAlign w:val="center"/>
          </w:tcPr>
          <w:p w14:paraId="26FC8270" w14:textId="1AF02064" w:rsidR="00B44396" w:rsidRPr="00520C7C" w:rsidRDefault="00B44396" w:rsidP="00195DBF">
            <w:pPr>
              <w:rPr>
                <w:sz w:val="20"/>
                <w:szCs w:val="20"/>
              </w:rPr>
            </w:pPr>
            <w:r w:rsidRPr="00520C7C">
              <w:rPr>
                <w:sz w:val="20"/>
                <w:szCs w:val="20"/>
              </w:rPr>
              <w:t>-2.5 (-4.8 - -0.3)</w:t>
            </w:r>
          </w:p>
        </w:tc>
      </w:tr>
      <w:tr w:rsidR="00520C7C" w:rsidRPr="00520C7C" w14:paraId="3CDA759A" w14:textId="77777777" w:rsidTr="00195DBF">
        <w:trPr>
          <w:trHeight w:val="284"/>
        </w:trPr>
        <w:tc>
          <w:tcPr>
            <w:tcW w:w="1468" w:type="pct"/>
            <w:shd w:val="clear" w:color="auto" w:fill="auto"/>
            <w:vAlign w:val="center"/>
          </w:tcPr>
          <w:p w14:paraId="5F52AE0D" w14:textId="77777777" w:rsidR="00B44396" w:rsidRPr="00520C7C" w:rsidRDefault="00B44396" w:rsidP="00EB555B">
            <w:pPr>
              <w:rPr>
                <w:sz w:val="20"/>
                <w:szCs w:val="20"/>
              </w:rPr>
            </w:pPr>
            <w:r w:rsidRPr="00520C7C">
              <w:rPr>
                <w:sz w:val="20"/>
                <w:szCs w:val="20"/>
              </w:rPr>
              <w:t>Momenta only (n=23)</w:t>
            </w:r>
          </w:p>
        </w:tc>
        <w:tc>
          <w:tcPr>
            <w:tcW w:w="975" w:type="pct"/>
            <w:shd w:val="clear" w:color="auto" w:fill="auto"/>
            <w:vAlign w:val="center"/>
          </w:tcPr>
          <w:p w14:paraId="01EC1DEA" w14:textId="584D8327" w:rsidR="00B44396" w:rsidRPr="00520C7C" w:rsidRDefault="00B44396" w:rsidP="00757342">
            <w:pPr>
              <w:jc w:val="right"/>
              <w:rPr>
                <w:sz w:val="20"/>
                <w:szCs w:val="20"/>
              </w:rPr>
            </w:pPr>
            <w:r w:rsidRPr="00520C7C">
              <w:rPr>
                <w:sz w:val="20"/>
                <w:szCs w:val="20"/>
              </w:rPr>
              <w:t>5.0 (3.0 - 7.5)</w:t>
            </w:r>
          </w:p>
        </w:tc>
        <w:tc>
          <w:tcPr>
            <w:tcW w:w="977" w:type="pct"/>
            <w:shd w:val="clear" w:color="auto" w:fill="auto"/>
            <w:vAlign w:val="center"/>
          </w:tcPr>
          <w:p w14:paraId="5A4450C7" w14:textId="05CF5D52" w:rsidR="00B44396" w:rsidRPr="00520C7C" w:rsidRDefault="00B44396" w:rsidP="00757342">
            <w:pPr>
              <w:jc w:val="right"/>
              <w:rPr>
                <w:sz w:val="20"/>
                <w:szCs w:val="20"/>
              </w:rPr>
            </w:pPr>
            <w:r w:rsidRPr="00520C7C">
              <w:rPr>
                <w:sz w:val="20"/>
                <w:szCs w:val="20"/>
              </w:rPr>
              <w:t>3.0 (1.0 - 5.0)</w:t>
            </w:r>
          </w:p>
        </w:tc>
        <w:tc>
          <w:tcPr>
            <w:tcW w:w="484" w:type="pct"/>
            <w:shd w:val="clear" w:color="auto" w:fill="auto"/>
            <w:vAlign w:val="center"/>
          </w:tcPr>
          <w:p w14:paraId="09DBDA09" w14:textId="77777777" w:rsidR="00B44396" w:rsidRPr="00520C7C" w:rsidRDefault="00B44396" w:rsidP="00757342">
            <w:pPr>
              <w:jc w:val="right"/>
              <w:rPr>
                <w:sz w:val="20"/>
                <w:szCs w:val="20"/>
              </w:rPr>
            </w:pPr>
            <w:r w:rsidRPr="00520C7C">
              <w:rPr>
                <w:sz w:val="20"/>
                <w:szCs w:val="20"/>
              </w:rPr>
              <w:t>-3.049</w:t>
            </w:r>
          </w:p>
        </w:tc>
        <w:tc>
          <w:tcPr>
            <w:tcW w:w="136" w:type="pct"/>
          </w:tcPr>
          <w:p w14:paraId="5248396D" w14:textId="1DBFB40D" w:rsidR="00B44396" w:rsidRPr="00520C7C" w:rsidRDefault="00B44396" w:rsidP="00757342">
            <w:pPr>
              <w:jc w:val="right"/>
              <w:rPr>
                <w:sz w:val="20"/>
                <w:szCs w:val="20"/>
              </w:rPr>
            </w:pPr>
          </w:p>
        </w:tc>
        <w:tc>
          <w:tcPr>
            <w:tcW w:w="959" w:type="pct"/>
            <w:shd w:val="clear" w:color="auto" w:fill="auto"/>
            <w:vAlign w:val="center"/>
          </w:tcPr>
          <w:p w14:paraId="37CFE03E" w14:textId="631D2E6B" w:rsidR="00B44396" w:rsidRPr="00520C7C" w:rsidRDefault="00B44396" w:rsidP="00195DBF">
            <w:pPr>
              <w:rPr>
                <w:sz w:val="20"/>
                <w:szCs w:val="20"/>
              </w:rPr>
            </w:pPr>
            <w:r w:rsidRPr="00520C7C">
              <w:rPr>
                <w:sz w:val="20"/>
                <w:szCs w:val="20"/>
              </w:rPr>
              <w:t>-1.0 (-4.5 - 1.0)</w:t>
            </w:r>
          </w:p>
        </w:tc>
      </w:tr>
      <w:tr w:rsidR="00520C7C" w:rsidRPr="00520C7C" w14:paraId="1725AA30" w14:textId="77777777" w:rsidTr="00195DBF">
        <w:trPr>
          <w:trHeight w:val="284"/>
        </w:trPr>
        <w:tc>
          <w:tcPr>
            <w:tcW w:w="1468" w:type="pct"/>
            <w:shd w:val="clear" w:color="auto" w:fill="auto"/>
            <w:vAlign w:val="center"/>
          </w:tcPr>
          <w:p w14:paraId="23DE6EF0" w14:textId="18191D90" w:rsidR="00B44396" w:rsidRPr="00520C7C" w:rsidRDefault="00B44396" w:rsidP="00EB555B">
            <w:pPr>
              <w:rPr>
                <w:sz w:val="20"/>
                <w:szCs w:val="20"/>
              </w:rPr>
            </w:pPr>
            <w:r w:rsidRPr="00520C7C">
              <w:rPr>
                <w:sz w:val="20"/>
                <w:szCs w:val="20"/>
              </w:rPr>
              <w:t>Fitness only (n=13)</w:t>
            </w:r>
          </w:p>
        </w:tc>
        <w:tc>
          <w:tcPr>
            <w:tcW w:w="975" w:type="pct"/>
            <w:shd w:val="clear" w:color="auto" w:fill="auto"/>
            <w:vAlign w:val="center"/>
          </w:tcPr>
          <w:p w14:paraId="2752A66F" w14:textId="185E4599" w:rsidR="00B44396" w:rsidRPr="00520C7C" w:rsidRDefault="00B44396" w:rsidP="00757342">
            <w:pPr>
              <w:jc w:val="right"/>
              <w:rPr>
                <w:sz w:val="20"/>
                <w:szCs w:val="20"/>
              </w:rPr>
            </w:pPr>
            <w:r w:rsidRPr="00520C7C">
              <w:rPr>
                <w:sz w:val="20"/>
                <w:szCs w:val="20"/>
              </w:rPr>
              <w:t>4.0 (2.0 - 8.5)</w:t>
            </w:r>
          </w:p>
        </w:tc>
        <w:tc>
          <w:tcPr>
            <w:tcW w:w="977" w:type="pct"/>
            <w:shd w:val="clear" w:color="auto" w:fill="auto"/>
            <w:vAlign w:val="center"/>
          </w:tcPr>
          <w:p w14:paraId="28C7C179" w14:textId="30691073" w:rsidR="00B44396" w:rsidRPr="00520C7C" w:rsidRDefault="00B44396" w:rsidP="00757342">
            <w:pPr>
              <w:jc w:val="right"/>
              <w:rPr>
                <w:sz w:val="20"/>
                <w:szCs w:val="20"/>
              </w:rPr>
            </w:pPr>
            <w:r w:rsidRPr="00520C7C">
              <w:rPr>
                <w:sz w:val="20"/>
                <w:szCs w:val="20"/>
              </w:rPr>
              <w:t>2.0 (2.0 - 7.0)</w:t>
            </w:r>
          </w:p>
        </w:tc>
        <w:tc>
          <w:tcPr>
            <w:tcW w:w="484" w:type="pct"/>
            <w:shd w:val="clear" w:color="auto" w:fill="auto"/>
            <w:vAlign w:val="center"/>
          </w:tcPr>
          <w:p w14:paraId="12560DEF" w14:textId="77777777" w:rsidR="00B44396" w:rsidRPr="00520C7C" w:rsidRDefault="00B44396" w:rsidP="00757342">
            <w:pPr>
              <w:jc w:val="right"/>
              <w:rPr>
                <w:sz w:val="20"/>
                <w:szCs w:val="20"/>
              </w:rPr>
            </w:pPr>
            <w:r w:rsidRPr="00520C7C">
              <w:rPr>
                <w:sz w:val="20"/>
                <w:szCs w:val="20"/>
              </w:rPr>
              <w:t>-1.226</w:t>
            </w:r>
          </w:p>
        </w:tc>
        <w:tc>
          <w:tcPr>
            <w:tcW w:w="136" w:type="pct"/>
          </w:tcPr>
          <w:p w14:paraId="0A614E89" w14:textId="5E6B1D87" w:rsidR="00B44396" w:rsidRPr="00520C7C" w:rsidRDefault="00B44396" w:rsidP="00757342">
            <w:pPr>
              <w:jc w:val="right"/>
              <w:rPr>
                <w:sz w:val="20"/>
                <w:szCs w:val="20"/>
              </w:rPr>
            </w:pPr>
          </w:p>
        </w:tc>
        <w:tc>
          <w:tcPr>
            <w:tcW w:w="959" w:type="pct"/>
            <w:shd w:val="clear" w:color="auto" w:fill="auto"/>
            <w:vAlign w:val="center"/>
          </w:tcPr>
          <w:p w14:paraId="520EA6E6" w14:textId="1EF18CCC" w:rsidR="00B44396" w:rsidRPr="00520C7C" w:rsidRDefault="00B44396" w:rsidP="00195DBF">
            <w:pPr>
              <w:rPr>
                <w:sz w:val="20"/>
                <w:szCs w:val="20"/>
              </w:rPr>
            </w:pPr>
            <w:r w:rsidRPr="00520C7C">
              <w:rPr>
                <w:sz w:val="20"/>
                <w:szCs w:val="20"/>
              </w:rPr>
              <w:t>-2.0 (-4.5 - 0.0)</w:t>
            </w:r>
          </w:p>
        </w:tc>
      </w:tr>
      <w:tr w:rsidR="00520C7C" w:rsidRPr="00520C7C" w14:paraId="5A015785" w14:textId="77777777" w:rsidTr="00195DBF">
        <w:trPr>
          <w:trHeight w:val="284"/>
        </w:trPr>
        <w:tc>
          <w:tcPr>
            <w:tcW w:w="1468" w:type="pct"/>
            <w:shd w:val="clear" w:color="auto" w:fill="auto"/>
            <w:vAlign w:val="center"/>
          </w:tcPr>
          <w:p w14:paraId="24683D56" w14:textId="77777777" w:rsidR="00B44396" w:rsidRPr="00520C7C" w:rsidRDefault="00B44396" w:rsidP="00EB555B">
            <w:pPr>
              <w:rPr>
                <w:sz w:val="20"/>
                <w:szCs w:val="20"/>
              </w:rPr>
            </w:pPr>
          </w:p>
        </w:tc>
        <w:tc>
          <w:tcPr>
            <w:tcW w:w="975" w:type="pct"/>
            <w:shd w:val="clear" w:color="auto" w:fill="auto"/>
            <w:vAlign w:val="center"/>
          </w:tcPr>
          <w:p w14:paraId="4E05D200" w14:textId="77777777" w:rsidR="00B44396" w:rsidRPr="00520C7C" w:rsidRDefault="00B44396" w:rsidP="00757342">
            <w:pPr>
              <w:jc w:val="right"/>
              <w:rPr>
                <w:sz w:val="20"/>
                <w:szCs w:val="20"/>
              </w:rPr>
            </w:pPr>
          </w:p>
        </w:tc>
        <w:tc>
          <w:tcPr>
            <w:tcW w:w="977" w:type="pct"/>
            <w:shd w:val="clear" w:color="auto" w:fill="auto"/>
            <w:vAlign w:val="center"/>
          </w:tcPr>
          <w:p w14:paraId="505627F6" w14:textId="77777777" w:rsidR="00B44396" w:rsidRPr="00520C7C" w:rsidRDefault="00B44396" w:rsidP="00757342">
            <w:pPr>
              <w:jc w:val="right"/>
              <w:rPr>
                <w:sz w:val="20"/>
                <w:szCs w:val="20"/>
              </w:rPr>
            </w:pPr>
          </w:p>
        </w:tc>
        <w:tc>
          <w:tcPr>
            <w:tcW w:w="484" w:type="pct"/>
            <w:shd w:val="clear" w:color="auto" w:fill="auto"/>
            <w:vAlign w:val="center"/>
          </w:tcPr>
          <w:p w14:paraId="1447D9AB" w14:textId="77777777" w:rsidR="00B44396" w:rsidRPr="00520C7C" w:rsidRDefault="00B44396" w:rsidP="00757342">
            <w:pPr>
              <w:jc w:val="right"/>
              <w:rPr>
                <w:sz w:val="20"/>
                <w:szCs w:val="20"/>
              </w:rPr>
            </w:pPr>
          </w:p>
        </w:tc>
        <w:tc>
          <w:tcPr>
            <w:tcW w:w="136" w:type="pct"/>
          </w:tcPr>
          <w:p w14:paraId="23762BAC" w14:textId="77777777" w:rsidR="00B44396" w:rsidRPr="00520C7C" w:rsidRDefault="00B44396" w:rsidP="00757342">
            <w:pPr>
              <w:jc w:val="right"/>
              <w:rPr>
                <w:sz w:val="20"/>
                <w:szCs w:val="20"/>
              </w:rPr>
            </w:pPr>
          </w:p>
        </w:tc>
        <w:tc>
          <w:tcPr>
            <w:tcW w:w="959" w:type="pct"/>
            <w:shd w:val="clear" w:color="auto" w:fill="auto"/>
            <w:vAlign w:val="center"/>
          </w:tcPr>
          <w:p w14:paraId="077621F5" w14:textId="77777777" w:rsidR="00B44396" w:rsidRPr="00520C7C" w:rsidRDefault="00B44396" w:rsidP="00757342">
            <w:pPr>
              <w:jc w:val="right"/>
              <w:rPr>
                <w:sz w:val="20"/>
                <w:szCs w:val="20"/>
              </w:rPr>
            </w:pPr>
          </w:p>
        </w:tc>
      </w:tr>
      <w:tr w:rsidR="00520C7C" w:rsidRPr="00520C7C" w14:paraId="748D705B" w14:textId="77777777" w:rsidTr="00195DBF">
        <w:trPr>
          <w:trHeight w:val="284"/>
        </w:trPr>
        <w:tc>
          <w:tcPr>
            <w:tcW w:w="1468" w:type="pct"/>
            <w:shd w:val="clear" w:color="auto" w:fill="EEECE1" w:themeFill="background2"/>
          </w:tcPr>
          <w:p w14:paraId="1AFEA4BE" w14:textId="746B7997" w:rsidR="00B44396" w:rsidRPr="00520C7C" w:rsidRDefault="008C16BB" w:rsidP="00EB555B">
            <w:pPr>
              <w:rPr>
                <w:b/>
                <w:sz w:val="20"/>
                <w:szCs w:val="20"/>
              </w:rPr>
            </w:pPr>
            <w:r w:rsidRPr="00520C7C">
              <w:rPr>
                <w:b/>
                <w:sz w:val="20"/>
                <w:szCs w:val="20"/>
              </w:rPr>
              <w:t>52-week</w:t>
            </w:r>
            <w:r w:rsidR="00B44396" w:rsidRPr="00520C7C">
              <w:rPr>
                <w:b/>
                <w:sz w:val="20"/>
                <w:szCs w:val="20"/>
              </w:rPr>
              <w:t xml:space="preserve"> follow-up</w:t>
            </w:r>
          </w:p>
        </w:tc>
        <w:tc>
          <w:tcPr>
            <w:tcW w:w="975" w:type="pct"/>
            <w:shd w:val="clear" w:color="auto" w:fill="EEECE1" w:themeFill="background2"/>
          </w:tcPr>
          <w:p w14:paraId="7E1493FF" w14:textId="5BE09C28" w:rsidR="00B44396" w:rsidRPr="00520C7C" w:rsidRDefault="00B44396" w:rsidP="00757342">
            <w:pPr>
              <w:rPr>
                <w:b/>
                <w:sz w:val="20"/>
                <w:szCs w:val="20"/>
              </w:rPr>
            </w:pPr>
            <w:r w:rsidRPr="00520C7C">
              <w:rPr>
                <w:b/>
                <w:sz w:val="20"/>
                <w:szCs w:val="20"/>
              </w:rPr>
              <w:t>Median (IQR)</w:t>
            </w:r>
          </w:p>
          <w:p w14:paraId="3602D46E" w14:textId="77777777" w:rsidR="00B44396" w:rsidRPr="00520C7C" w:rsidRDefault="00B44396" w:rsidP="00757342">
            <w:pPr>
              <w:rPr>
                <w:b/>
                <w:sz w:val="20"/>
                <w:szCs w:val="20"/>
              </w:rPr>
            </w:pPr>
            <w:r w:rsidRPr="00520C7C">
              <w:rPr>
                <w:b/>
                <w:sz w:val="20"/>
                <w:szCs w:val="20"/>
              </w:rPr>
              <w:t>Baseline</w:t>
            </w:r>
          </w:p>
        </w:tc>
        <w:tc>
          <w:tcPr>
            <w:tcW w:w="977" w:type="pct"/>
            <w:shd w:val="clear" w:color="auto" w:fill="EEECE1" w:themeFill="background2"/>
          </w:tcPr>
          <w:p w14:paraId="4DB6F305" w14:textId="6DBBE22C" w:rsidR="00B44396" w:rsidRPr="00520C7C" w:rsidRDefault="00B44396" w:rsidP="00757342">
            <w:pPr>
              <w:rPr>
                <w:b/>
                <w:sz w:val="20"/>
                <w:szCs w:val="20"/>
              </w:rPr>
            </w:pPr>
            <w:r w:rsidRPr="00520C7C">
              <w:rPr>
                <w:b/>
                <w:sz w:val="20"/>
                <w:szCs w:val="20"/>
              </w:rPr>
              <w:t>Median (IQR)</w:t>
            </w:r>
          </w:p>
          <w:p w14:paraId="259C5DC6" w14:textId="1E9EA9F2" w:rsidR="00B44396" w:rsidRPr="00520C7C" w:rsidRDefault="00B44396" w:rsidP="00757342">
            <w:pPr>
              <w:rPr>
                <w:b/>
                <w:sz w:val="20"/>
                <w:szCs w:val="20"/>
              </w:rPr>
            </w:pPr>
            <w:r w:rsidRPr="00520C7C">
              <w:rPr>
                <w:b/>
                <w:sz w:val="20"/>
                <w:szCs w:val="20"/>
              </w:rPr>
              <w:t>52 weeks</w:t>
            </w:r>
          </w:p>
        </w:tc>
        <w:tc>
          <w:tcPr>
            <w:tcW w:w="484" w:type="pct"/>
            <w:shd w:val="clear" w:color="auto" w:fill="EEECE1" w:themeFill="background2"/>
          </w:tcPr>
          <w:p w14:paraId="7AC63849" w14:textId="7E0E232F" w:rsidR="00B44396" w:rsidRPr="00520C7C" w:rsidRDefault="00B44396" w:rsidP="00757342">
            <w:pPr>
              <w:rPr>
                <w:b/>
                <w:sz w:val="20"/>
                <w:szCs w:val="20"/>
              </w:rPr>
            </w:pPr>
            <w:r w:rsidRPr="00520C7C">
              <w:rPr>
                <w:b/>
                <w:sz w:val="20"/>
                <w:szCs w:val="20"/>
              </w:rPr>
              <w:t>z</w:t>
            </w:r>
          </w:p>
        </w:tc>
        <w:tc>
          <w:tcPr>
            <w:tcW w:w="136" w:type="pct"/>
            <w:shd w:val="clear" w:color="auto" w:fill="EEECE1" w:themeFill="background2"/>
          </w:tcPr>
          <w:p w14:paraId="216A540A" w14:textId="58292254" w:rsidR="00B44396" w:rsidRPr="00520C7C" w:rsidRDefault="00B44396" w:rsidP="00757342">
            <w:pPr>
              <w:rPr>
                <w:b/>
                <w:sz w:val="20"/>
                <w:szCs w:val="20"/>
              </w:rPr>
            </w:pPr>
          </w:p>
        </w:tc>
        <w:tc>
          <w:tcPr>
            <w:tcW w:w="959" w:type="pct"/>
            <w:shd w:val="clear" w:color="auto" w:fill="EEECE1" w:themeFill="background2"/>
          </w:tcPr>
          <w:p w14:paraId="01AEA8EC" w14:textId="07FC1B9C" w:rsidR="00B44396" w:rsidRPr="00520C7C" w:rsidRDefault="00B44396" w:rsidP="00757342">
            <w:pPr>
              <w:rPr>
                <w:b/>
                <w:sz w:val="20"/>
                <w:szCs w:val="20"/>
              </w:rPr>
            </w:pPr>
            <w:r w:rsidRPr="00520C7C">
              <w:rPr>
                <w:b/>
                <w:sz w:val="20"/>
                <w:szCs w:val="20"/>
              </w:rPr>
              <w:t>Median (IQR)</w:t>
            </w:r>
          </w:p>
          <w:p w14:paraId="0726BF81" w14:textId="12F0E8A7" w:rsidR="00B44396" w:rsidRPr="00520C7C" w:rsidRDefault="00B44396" w:rsidP="00757342">
            <w:pPr>
              <w:rPr>
                <w:b/>
                <w:sz w:val="20"/>
                <w:szCs w:val="20"/>
              </w:rPr>
            </w:pPr>
            <w:r w:rsidRPr="00520C7C">
              <w:rPr>
                <w:b/>
                <w:sz w:val="20"/>
                <w:szCs w:val="20"/>
              </w:rPr>
              <w:t>Change</w:t>
            </w:r>
          </w:p>
        </w:tc>
      </w:tr>
      <w:tr w:rsidR="00520C7C" w:rsidRPr="00520C7C" w14:paraId="6673C5EE" w14:textId="77777777" w:rsidTr="00195DBF">
        <w:trPr>
          <w:trHeight w:val="284"/>
        </w:trPr>
        <w:tc>
          <w:tcPr>
            <w:tcW w:w="5000" w:type="pct"/>
            <w:gridSpan w:val="6"/>
            <w:shd w:val="clear" w:color="auto" w:fill="auto"/>
            <w:vAlign w:val="center"/>
          </w:tcPr>
          <w:p w14:paraId="711C519C" w14:textId="4B85D73C" w:rsidR="00852F10" w:rsidRPr="00520C7C" w:rsidRDefault="00852F10" w:rsidP="00EB555B">
            <w:pPr>
              <w:rPr>
                <w:b/>
                <w:sz w:val="20"/>
                <w:szCs w:val="20"/>
              </w:rPr>
            </w:pPr>
            <w:r w:rsidRPr="00520C7C">
              <w:rPr>
                <w:b/>
                <w:sz w:val="20"/>
                <w:szCs w:val="20"/>
              </w:rPr>
              <w:t xml:space="preserve">Mental wellbeing scale </w:t>
            </w:r>
          </w:p>
        </w:tc>
      </w:tr>
      <w:tr w:rsidR="00520C7C" w:rsidRPr="00520C7C" w14:paraId="29138556" w14:textId="77777777" w:rsidTr="00195DBF">
        <w:trPr>
          <w:trHeight w:val="284"/>
        </w:trPr>
        <w:tc>
          <w:tcPr>
            <w:tcW w:w="1468" w:type="pct"/>
            <w:shd w:val="clear" w:color="auto" w:fill="auto"/>
            <w:vAlign w:val="center"/>
          </w:tcPr>
          <w:p w14:paraId="027D29D6" w14:textId="7D33B12C" w:rsidR="00B44396" w:rsidRPr="00520C7C" w:rsidRDefault="00A018D7" w:rsidP="00A018D7">
            <w:pPr>
              <w:rPr>
                <w:sz w:val="20"/>
                <w:szCs w:val="20"/>
              </w:rPr>
            </w:pPr>
            <w:r w:rsidRPr="00520C7C">
              <w:rPr>
                <w:sz w:val="20"/>
                <w:szCs w:val="20"/>
              </w:rPr>
              <w:t>Momenta-F</w:t>
            </w:r>
            <w:r w:rsidR="00B44396" w:rsidRPr="00520C7C">
              <w:rPr>
                <w:sz w:val="20"/>
                <w:szCs w:val="20"/>
              </w:rPr>
              <w:t>itness (n=15)</w:t>
            </w:r>
          </w:p>
        </w:tc>
        <w:tc>
          <w:tcPr>
            <w:tcW w:w="975" w:type="pct"/>
            <w:shd w:val="clear" w:color="auto" w:fill="auto"/>
            <w:vAlign w:val="center"/>
          </w:tcPr>
          <w:p w14:paraId="16BA9936" w14:textId="0C49E99B" w:rsidR="00B44396" w:rsidRPr="00520C7C" w:rsidRDefault="00B44396" w:rsidP="00757342">
            <w:pPr>
              <w:jc w:val="right"/>
              <w:rPr>
                <w:sz w:val="20"/>
                <w:szCs w:val="20"/>
              </w:rPr>
            </w:pPr>
            <w:r w:rsidRPr="00520C7C">
              <w:rPr>
                <w:sz w:val="20"/>
                <w:szCs w:val="20"/>
              </w:rPr>
              <w:t>44.0 (39.0 - 52.0)</w:t>
            </w:r>
          </w:p>
        </w:tc>
        <w:tc>
          <w:tcPr>
            <w:tcW w:w="977" w:type="pct"/>
            <w:shd w:val="clear" w:color="auto" w:fill="auto"/>
            <w:vAlign w:val="center"/>
          </w:tcPr>
          <w:p w14:paraId="0F947561" w14:textId="7E892E07" w:rsidR="00B44396" w:rsidRPr="00520C7C" w:rsidRDefault="00B44396" w:rsidP="00757342">
            <w:pPr>
              <w:jc w:val="right"/>
              <w:rPr>
                <w:sz w:val="20"/>
                <w:szCs w:val="20"/>
              </w:rPr>
            </w:pPr>
            <w:r w:rsidRPr="00520C7C">
              <w:rPr>
                <w:sz w:val="20"/>
                <w:szCs w:val="20"/>
              </w:rPr>
              <w:t>55.0 (48.0 - 59.0)</w:t>
            </w:r>
          </w:p>
        </w:tc>
        <w:tc>
          <w:tcPr>
            <w:tcW w:w="484" w:type="pct"/>
            <w:shd w:val="clear" w:color="auto" w:fill="auto"/>
            <w:vAlign w:val="center"/>
          </w:tcPr>
          <w:p w14:paraId="4D67BCAA" w14:textId="77777777" w:rsidR="00B44396" w:rsidRPr="00520C7C" w:rsidRDefault="00B44396" w:rsidP="00757342">
            <w:pPr>
              <w:jc w:val="right"/>
              <w:rPr>
                <w:sz w:val="20"/>
                <w:szCs w:val="20"/>
              </w:rPr>
            </w:pPr>
            <w:r w:rsidRPr="00520C7C">
              <w:rPr>
                <w:sz w:val="20"/>
                <w:szCs w:val="20"/>
              </w:rPr>
              <w:t>2.984</w:t>
            </w:r>
          </w:p>
        </w:tc>
        <w:tc>
          <w:tcPr>
            <w:tcW w:w="136" w:type="pct"/>
          </w:tcPr>
          <w:p w14:paraId="1FBDA8F7" w14:textId="39E7BF70" w:rsidR="00B44396" w:rsidRPr="00520C7C" w:rsidRDefault="00B44396" w:rsidP="00757342">
            <w:pPr>
              <w:jc w:val="right"/>
              <w:rPr>
                <w:sz w:val="20"/>
                <w:szCs w:val="20"/>
              </w:rPr>
            </w:pPr>
          </w:p>
        </w:tc>
        <w:tc>
          <w:tcPr>
            <w:tcW w:w="959" w:type="pct"/>
            <w:shd w:val="clear" w:color="auto" w:fill="auto"/>
            <w:vAlign w:val="center"/>
          </w:tcPr>
          <w:p w14:paraId="4A07D216" w14:textId="77777777" w:rsidR="00B44396" w:rsidRPr="00520C7C" w:rsidRDefault="00B44396" w:rsidP="00195DBF">
            <w:pPr>
              <w:jc w:val="both"/>
              <w:rPr>
                <w:sz w:val="20"/>
                <w:szCs w:val="20"/>
              </w:rPr>
            </w:pPr>
            <w:r w:rsidRPr="00520C7C">
              <w:rPr>
                <w:sz w:val="20"/>
                <w:szCs w:val="20"/>
              </w:rPr>
              <w:t>5.0 (3.0 - 15.0)</w:t>
            </w:r>
          </w:p>
        </w:tc>
      </w:tr>
      <w:tr w:rsidR="00520C7C" w:rsidRPr="00520C7C" w14:paraId="661DF1CF" w14:textId="77777777" w:rsidTr="00195DBF">
        <w:trPr>
          <w:trHeight w:val="284"/>
        </w:trPr>
        <w:tc>
          <w:tcPr>
            <w:tcW w:w="1468" w:type="pct"/>
            <w:shd w:val="clear" w:color="auto" w:fill="auto"/>
            <w:vAlign w:val="center"/>
          </w:tcPr>
          <w:p w14:paraId="6CEF0AEF" w14:textId="77777777" w:rsidR="00B44396" w:rsidRPr="00520C7C" w:rsidRDefault="00B44396" w:rsidP="00EB555B">
            <w:pPr>
              <w:rPr>
                <w:sz w:val="20"/>
                <w:szCs w:val="20"/>
              </w:rPr>
            </w:pPr>
            <w:r w:rsidRPr="00520C7C">
              <w:rPr>
                <w:sz w:val="20"/>
                <w:szCs w:val="20"/>
              </w:rPr>
              <w:t>Momenta only (n=13)</w:t>
            </w:r>
          </w:p>
        </w:tc>
        <w:tc>
          <w:tcPr>
            <w:tcW w:w="975" w:type="pct"/>
            <w:shd w:val="clear" w:color="auto" w:fill="auto"/>
            <w:vAlign w:val="center"/>
          </w:tcPr>
          <w:p w14:paraId="298352BC" w14:textId="48B7A5EA" w:rsidR="00B44396" w:rsidRPr="00520C7C" w:rsidRDefault="00B44396" w:rsidP="00757342">
            <w:pPr>
              <w:jc w:val="right"/>
              <w:rPr>
                <w:sz w:val="20"/>
                <w:szCs w:val="20"/>
              </w:rPr>
            </w:pPr>
            <w:r w:rsidRPr="00520C7C">
              <w:rPr>
                <w:sz w:val="20"/>
                <w:szCs w:val="20"/>
              </w:rPr>
              <w:t>58.0 (47.5 - 59.0)</w:t>
            </w:r>
          </w:p>
        </w:tc>
        <w:tc>
          <w:tcPr>
            <w:tcW w:w="977" w:type="pct"/>
            <w:shd w:val="clear" w:color="auto" w:fill="auto"/>
            <w:vAlign w:val="center"/>
          </w:tcPr>
          <w:p w14:paraId="2E09BCF5" w14:textId="764F9B39" w:rsidR="00B44396" w:rsidRPr="00520C7C" w:rsidRDefault="00B44396" w:rsidP="00757342">
            <w:pPr>
              <w:jc w:val="right"/>
              <w:rPr>
                <w:sz w:val="20"/>
                <w:szCs w:val="20"/>
              </w:rPr>
            </w:pPr>
            <w:r w:rsidRPr="00520C7C">
              <w:rPr>
                <w:sz w:val="20"/>
                <w:szCs w:val="20"/>
              </w:rPr>
              <w:t>56.0 (54.0 - 63.5)</w:t>
            </w:r>
          </w:p>
        </w:tc>
        <w:tc>
          <w:tcPr>
            <w:tcW w:w="484" w:type="pct"/>
            <w:shd w:val="clear" w:color="auto" w:fill="auto"/>
            <w:vAlign w:val="center"/>
          </w:tcPr>
          <w:p w14:paraId="46A2C17E" w14:textId="77777777" w:rsidR="00B44396" w:rsidRPr="00520C7C" w:rsidRDefault="00B44396" w:rsidP="00757342">
            <w:pPr>
              <w:jc w:val="right"/>
              <w:rPr>
                <w:sz w:val="20"/>
                <w:szCs w:val="20"/>
              </w:rPr>
            </w:pPr>
            <w:r w:rsidRPr="00520C7C">
              <w:rPr>
                <w:sz w:val="20"/>
                <w:szCs w:val="20"/>
              </w:rPr>
              <w:t>2.282</w:t>
            </w:r>
          </w:p>
        </w:tc>
        <w:tc>
          <w:tcPr>
            <w:tcW w:w="136" w:type="pct"/>
          </w:tcPr>
          <w:p w14:paraId="6CE5EB58" w14:textId="0AA7F472" w:rsidR="00B44396" w:rsidRPr="00520C7C" w:rsidRDefault="00B44396" w:rsidP="00757342">
            <w:pPr>
              <w:jc w:val="right"/>
              <w:rPr>
                <w:sz w:val="20"/>
                <w:szCs w:val="20"/>
              </w:rPr>
            </w:pPr>
          </w:p>
        </w:tc>
        <w:tc>
          <w:tcPr>
            <w:tcW w:w="959" w:type="pct"/>
            <w:shd w:val="clear" w:color="auto" w:fill="auto"/>
            <w:vAlign w:val="center"/>
          </w:tcPr>
          <w:p w14:paraId="4B827060" w14:textId="506F554E" w:rsidR="00B44396" w:rsidRPr="00520C7C" w:rsidRDefault="00B44396" w:rsidP="00195DBF">
            <w:pPr>
              <w:jc w:val="both"/>
              <w:rPr>
                <w:sz w:val="20"/>
                <w:szCs w:val="20"/>
              </w:rPr>
            </w:pPr>
            <w:r w:rsidRPr="00520C7C">
              <w:rPr>
                <w:sz w:val="20"/>
                <w:szCs w:val="20"/>
              </w:rPr>
              <w:t>4.0 (0.5 - 6.5)</w:t>
            </w:r>
          </w:p>
        </w:tc>
      </w:tr>
      <w:tr w:rsidR="00520C7C" w:rsidRPr="00520C7C" w14:paraId="6A040666" w14:textId="77777777" w:rsidTr="00195DBF">
        <w:trPr>
          <w:trHeight w:val="284"/>
        </w:trPr>
        <w:tc>
          <w:tcPr>
            <w:tcW w:w="1468" w:type="pct"/>
            <w:shd w:val="clear" w:color="auto" w:fill="auto"/>
            <w:vAlign w:val="center"/>
          </w:tcPr>
          <w:p w14:paraId="0868BD7B" w14:textId="4CA18FB6" w:rsidR="00B2315B" w:rsidRPr="00520C7C" w:rsidRDefault="00B2315B" w:rsidP="00B2315B">
            <w:pPr>
              <w:rPr>
                <w:sz w:val="20"/>
                <w:szCs w:val="20"/>
              </w:rPr>
            </w:pPr>
            <w:r w:rsidRPr="00520C7C">
              <w:rPr>
                <w:sz w:val="20"/>
                <w:szCs w:val="20"/>
              </w:rPr>
              <w:t>*Fitness only (n=3)</w:t>
            </w:r>
          </w:p>
        </w:tc>
        <w:tc>
          <w:tcPr>
            <w:tcW w:w="975" w:type="pct"/>
            <w:shd w:val="clear" w:color="auto" w:fill="auto"/>
            <w:vAlign w:val="center"/>
          </w:tcPr>
          <w:p w14:paraId="3539BECC" w14:textId="1E290E67" w:rsidR="00B2315B" w:rsidRPr="00520C7C" w:rsidRDefault="00B2315B" w:rsidP="00B2315B">
            <w:pPr>
              <w:jc w:val="right"/>
              <w:rPr>
                <w:sz w:val="20"/>
                <w:szCs w:val="20"/>
              </w:rPr>
            </w:pPr>
            <w:r w:rsidRPr="00520C7C">
              <w:rPr>
                <w:sz w:val="20"/>
                <w:szCs w:val="20"/>
              </w:rPr>
              <w:t>47.0 (34.0 – 64.0)</w:t>
            </w:r>
          </w:p>
        </w:tc>
        <w:tc>
          <w:tcPr>
            <w:tcW w:w="977" w:type="pct"/>
            <w:shd w:val="clear" w:color="auto" w:fill="auto"/>
            <w:vAlign w:val="center"/>
          </w:tcPr>
          <w:p w14:paraId="03596AE9" w14:textId="56C12F66" w:rsidR="00B2315B" w:rsidRPr="00520C7C" w:rsidRDefault="00B2315B" w:rsidP="00B2315B">
            <w:pPr>
              <w:jc w:val="right"/>
              <w:rPr>
                <w:sz w:val="20"/>
                <w:szCs w:val="20"/>
              </w:rPr>
            </w:pPr>
            <w:r w:rsidRPr="00520C7C">
              <w:rPr>
                <w:sz w:val="20"/>
                <w:szCs w:val="20"/>
              </w:rPr>
              <w:t>58.0 (45.0 – 60.0)</w:t>
            </w:r>
          </w:p>
        </w:tc>
        <w:tc>
          <w:tcPr>
            <w:tcW w:w="484" w:type="pct"/>
            <w:shd w:val="clear" w:color="auto" w:fill="auto"/>
            <w:vAlign w:val="center"/>
          </w:tcPr>
          <w:p w14:paraId="1867151C" w14:textId="77777777" w:rsidR="00B2315B" w:rsidRPr="00520C7C" w:rsidRDefault="00B2315B" w:rsidP="00B2315B">
            <w:pPr>
              <w:jc w:val="right"/>
              <w:rPr>
                <w:sz w:val="20"/>
                <w:szCs w:val="20"/>
              </w:rPr>
            </w:pPr>
          </w:p>
        </w:tc>
        <w:tc>
          <w:tcPr>
            <w:tcW w:w="136" w:type="pct"/>
          </w:tcPr>
          <w:p w14:paraId="45A189F2" w14:textId="77777777" w:rsidR="00B2315B" w:rsidRPr="00520C7C" w:rsidRDefault="00B2315B" w:rsidP="00195DBF">
            <w:pPr>
              <w:rPr>
                <w:sz w:val="20"/>
                <w:szCs w:val="20"/>
              </w:rPr>
            </w:pPr>
          </w:p>
        </w:tc>
        <w:tc>
          <w:tcPr>
            <w:tcW w:w="959" w:type="pct"/>
            <w:shd w:val="clear" w:color="auto" w:fill="auto"/>
            <w:vAlign w:val="center"/>
          </w:tcPr>
          <w:p w14:paraId="6135DA49" w14:textId="6CF03688" w:rsidR="00B2315B" w:rsidRPr="00520C7C" w:rsidRDefault="00B2315B" w:rsidP="00195DBF">
            <w:pPr>
              <w:rPr>
                <w:sz w:val="20"/>
                <w:szCs w:val="20"/>
              </w:rPr>
            </w:pPr>
            <w:r w:rsidRPr="00520C7C">
              <w:rPr>
                <w:sz w:val="20"/>
                <w:szCs w:val="20"/>
              </w:rPr>
              <w:t>-2.0 (-6.0 – 26.0)</w:t>
            </w:r>
          </w:p>
        </w:tc>
      </w:tr>
      <w:tr w:rsidR="00520C7C" w:rsidRPr="00520C7C" w14:paraId="111B0044" w14:textId="77777777" w:rsidTr="00195DBF">
        <w:trPr>
          <w:trHeight w:val="284"/>
        </w:trPr>
        <w:tc>
          <w:tcPr>
            <w:tcW w:w="1468" w:type="pct"/>
            <w:shd w:val="clear" w:color="auto" w:fill="auto"/>
          </w:tcPr>
          <w:p w14:paraId="25D2715C" w14:textId="5E2A8010" w:rsidR="00B2315B" w:rsidRPr="00520C7C" w:rsidRDefault="00B2315B" w:rsidP="00B2315B">
            <w:pPr>
              <w:rPr>
                <w:b/>
                <w:bCs/>
                <w:sz w:val="20"/>
                <w:szCs w:val="20"/>
              </w:rPr>
            </w:pPr>
            <w:r w:rsidRPr="00520C7C">
              <w:rPr>
                <w:b/>
                <w:bCs/>
                <w:sz w:val="20"/>
                <w:szCs w:val="20"/>
              </w:rPr>
              <w:t>Anxiety scale</w:t>
            </w:r>
          </w:p>
        </w:tc>
        <w:tc>
          <w:tcPr>
            <w:tcW w:w="975" w:type="pct"/>
            <w:shd w:val="clear" w:color="auto" w:fill="auto"/>
            <w:vAlign w:val="center"/>
          </w:tcPr>
          <w:p w14:paraId="1553A420" w14:textId="77777777" w:rsidR="00B2315B" w:rsidRPr="00520C7C" w:rsidRDefault="00B2315B" w:rsidP="00B2315B">
            <w:pPr>
              <w:rPr>
                <w:sz w:val="20"/>
                <w:szCs w:val="20"/>
              </w:rPr>
            </w:pPr>
          </w:p>
        </w:tc>
        <w:tc>
          <w:tcPr>
            <w:tcW w:w="977" w:type="pct"/>
            <w:shd w:val="clear" w:color="auto" w:fill="auto"/>
            <w:vAlign w:val="center"/>
          </w:tcPr>
          <w:p w14:paraId="44CC20F6" w14:textId="77777777" w:rsidR="00B2315B" w:rsidRPr="00520C7C" w:rsidRDefault="00B2315B" w:rsidP="00B2315B">
            <w:pPr>
              <w:rPr>
                <w:sz w:val="20"/>
                <w:szCs w:val="20"/>
              </w:rPr>
            </w:pPr>
          </w:p>
        </w:tc>
        <w:tc>
          <w:tcPr>
            <w:tcW w:w="484" w:type="pct"/>
            <w:shd w:val="clear" w:color="auto" w:fill="auto"/>
            <w:vAlign w:val="center"/>
          </w:tcPr>
          <w:p w14:paraId="66196631" w14:textId="77777777" w:rsidR="00B2315B" w:rsidRPr="00520C7C" w:rsidRDefault="00B2315B" w:rsidP="00B2315B">
            <w:pPr>
              <w:jc w:val="center"/>
              <w:rPr>
                <w:sz w:val="20"/>
                <w:szCs w:val="20"/>
              </w:rPr>
            </w:pPr>
          </w:p>
        </w:tc>
        <w:tc>
          <w:tcPr>
            <w:tcW w:w="136" w:type="pct"/>
          </w:tcPr>
          <w:p w14:paraId="7772440F" w14:textId="2A07782E" w:rsidR="00B2315B" w:rsidRPr="00520C7C" w:rsidRDefault="00B2315B" w:rsidP="00B2315B">
            <w:pPr>
              <w:rPr>
                <w:sz w:val="20"/>
                <w:szCs w:val="20"/>
              </w:rPr>
            </w:pPr>
          </w:p>
        </w:tc>
        <w:tc>
          <w:tcPr>
            <w:tcW w:w="959" w:type="pct"/>
            <w:shd w:val="clear" w:color="auto" w:fill="auto"/>
            <w:vAlign w:val="center"/>
          </w:tcPr>
          <w:p w14:paraId="75A9E09E" w14:textId="77777777" w:rsidR="00B2315B" w:rsidRPr="00520C7C" w:rsidRDefault="00B2315B" w:rsidP="00B2315B">
            <w:pPr>
              <w:rPr>
                <w:sz w:val="20"/>
                <w:szCs w:val="20"/>
              </w:rPr>
            </w:pPr>
          </w:p>
        </w:tc>
      </w:tr>
      <w:tr w:rsidR="00520C7C" w:rsidRPr="00520C7C" w14:paraId="5B8954E1" w14:textId="77777777" w:rsidTr="00195DBF">
        <w:trPr>
          <w:trHeight w:val="284"/>
        </w:trPr>
        <w:tc>
          <w:tcPr>
            <w:tcW w:w="1468" w:type="pct"/>
            <w:shd w:val="clear" w:color="auto" w:fill="auto"/>
          </w:tcPr>
          <w:p w14:paraId="53E5F5B6" w14:textId="5F90C975" w:rsidR="00B2315B" w:rsidRPr="00520C7C" w:rsidRDefault="00A018D7" w:rsidP="00A018D7">
            <w:pPr>
              <w:rPr>
                <w:sz w:val="20"/>
                <w:szCs w:val="20"/>
              </w:rPr>
            </w:pPr>
            <w:r w:rsidRPr="00520C7C">
              <w:rPr>
                <w:sz w:val="20"/>
                <w:szCs w:val="20"/>
              </w:rPr>
              <w:t>Momenta-F</w:t>
            </w:r>
            <w:r w:rsidR="00B2315B" w:rsidRPr="00520C7C">
              <w:rPr>
                <w:sz w:val="20"/>
                <w:szCs w:val="20"/>
              </w:rPr>
              <w:t>itness (n=15)</w:t>
            </w:r>
          </w:p>
        </w:tc>
        <w:tc>
          <w:tcPr>
            <w:tcW w:w="975" w:type="pct"/>
            <w:shd w:val="clear" w:color="auto" w:fill="auto"/>
            <w:vAlign w:val="center"/>
          </w:tcPr>
          <w:p w14:paraId="38102C1F" w14:textId="251C13CC" w:rsidR="00B2315B" w:rsidRPr="00520C7C" w:rsidRDefault="00B2315B" w:rsidP="00B2315B">
            <w:pPr>
              <w:jc w:val="right"/>
              <w:rPr>
                <w:sz w:val="20"/>
                <w:szCs w:val="20"/>
              </w:rPr>
            </w:pPr>
            <w:r w:rsidRPr="00520C7C">
              <w:rPr>
                <w:sz w:val="20"/>
                <w:szCs w:val="20"/>
              </w:rPr>
              <w:t>6.0 (2.0 - 10.0)</w:t>
            </w:r>
          </w:p>
        </w:tc>
        <w:tc>
          <w:tcPr>
            <w:tcW w:w="977" w:type="pct"/>
            <w:shd w:val="clear" w:color="auto" w:fill="auto"/>
            <w:vAlign w:val="center"/>
          </w:tcPr>
          <w:p w14:paraId="5F797568" w14:textId="23E607C9" w:rsidR="00B2315B" w:rsidRPr="00520C7C" w:rsidRDefault="00B2315B" w:rsidP="00B2315B">
            <w:pPr>
              <w:jc w:val="right"/>
              <w:rPr>
                <w:sz w:val="20"/>
                <w:szCs w:val="20"/>
              </w:rPr>
            </w:pPr>
            <w:r w:rsidRPr="00520C7C">
              <w:rPr>
                <w:sz w:val="20"/>
                <w:szCs w:val="20"/>
              </w:rPr>
              <w:t>2.0 (1.0 - 7.0)</w:t>
            </w:r>
          </w:p>
        </w:tc>
        <w:tc>
          <w:tcPr>
            <w:tcW w:w="484" w:type="pct"/>
            <w:shd w:val="clear" w:color="auto" w:fill="auto"/>
            <w:vAlign w:val="center"/>
          </w:tcPr>
          <w:p w14:paraId="5199EFF2" w14:textId="77777777" w:rsidR="00B2315B" w:rsidRPr="00520C7C" w:rsidRDefault="00B2315B" w:rsidP="00B2315B">
            <w:pPr>
              <w:jc w:val="right"/>
              <w:rPr>
                <w:sz w:val="20"/>
                <w:szCs w:val="20"/>
              </w:rPr>
            </w:pPr>
            <w:r w:rsidRPr="00520C7C">
              <w:rPr>
                <w:sz w:val="20"/>
                <w:szCs w:val="20"/>
              </w:rPr>
              <w:t>-1.785</w:t>
            </w:r>
          </w:p>
        </w:tc>
        <w:tc>
          <w:tcPr>
            <w:tcW w:w="136" w:type="pct"/>
          </w:tcPr>
          <w:p w14:paraId="1996F69A" w14:textId="411FC077" w:rsidR="00B2315B" w:rsidRPr="00520C7C" w:rsidRDefault="00B2315B" w:rsidP="00B2315B">
            <w:pPr>
              <w:jc w:val="right"/>
              <w:rPr>
                <w:sz w:val="20"/>
                <w:szCs w:val="20"/>
              </w:rPr>
            </w:pPr>
          </w:p>
        </w:tc>
        <w:tc>
          <w:tcPr>
            <w:tcW w:w="959" w:type="pct"/>
            <w:shd w:val="clear" w:color="auto" w:fill="auto"/>
            <w:vAlign w:val="center"/>
          </w:tcPr>
          <w:p w14:paraId="4F7F23B2" w14:textId="13DA7123" w:rsidR="00B2315B" w:rsidRPr="00520C7C" w:rsidRDefault="00B2315B" w:rsidP="00195DBF">
            <w:pPr>
              <w:rPr>
                <w:sz w:val="20"/>
                <w:szCs w:val="20"/>
              </w:rPr>
            </w:pPr>
            <w:r w:rsidRPr="00520C7C">
              <w:rPr>
                <w:sz w:val="20"/>
                <w:szCs w:val="20"/>
              </w:rPr>
              <w:t>-3.0 (-6.0 - 0.0)</w:t>
            </w:r>
          </w:p>
        </w:tc>
      </w:tr>
      <w:tr w:rsidR="00520C7C" w:rsidRPr="00520C7C" w14:paraId="1AC7C800" w14:textId="77777777" w:rsidTr="00195DBF">
        <w:trPr>
          <w:trHeight w:val="284"/>
        </w:trPr>
        <w:tc>
          <w:tcPr>
            <w:tcW w:w="1468" w:type="pct"/>
            <w:shd w:val="clear" w:color="auto" w:fill="auto"/>
          </w:tcPr>
          <w:p w14:paraId="3E8A2730" w14:textId="77777777" w:rsidR="00B2315B" w:rsidRPr="00520C7C" w:rsidRDefault="00B2315B" w:rsidP="00B2315B">
            <w:pPr>
              <w:rPr>
                <w:sz w:val="20"/>
                <w:szCs w:val="20"/>
              </w:rPr>
            </w:pPr>
            <w:r w:rsidRPr="00520C7C">
              <w:rPr>
                <w:sz w:val="20"/>
                <w:szCs w:val="20"/>
              </w:rPr>
              <w:t>Momenta only (n=15)</w:t>
            </w:r>
          </w:p>
        </w:tc>
        <w:tc>
          <w:tcPr>
            <w:tcW w:w="975" w:type="pct"/>
            <w:shd w:val="clear" w:color="auto" w:fill="auto"/>
            <w:vAlign w:val="center"/>
          </w:tcPr>
          <w:p w14:paraId="550E220C" w14:textId="6E66161D" w:rsidR="00B2315B" w:rsidRPr="00520C7C" w:rsidRDefault="00B2315B" w:rsidP="00B2315B">
            <w:pPr>
              <w:jc w:val="right"/>
              <w:rPr>
                <w:sz w:val="20"/>
                <w:szCs w:val="20"/>
              </w:rPr>
            </w:pPr>
            <w:r w:rsidRPr="00520C7C">
              <w:rPr>
                <w:sz w:val="20"/>
                <w:szCs w:val="20"/>
              </w:rPr>
              <w:t>7.0 (4.0 - 9.0)</w:t>
            </w:r>
          </w:p>
        </w:tc>
        <w:tc>
          <w:tcPr>
            <w:tcW w:w="977" w:type="pct"/>
            <w:shd w:val="clear" w:color="auto" w:fill="auto"/>
            <w:vAlign w:val="center"/>
          </w:tcPr>
          <w:p w14:paraId="1A3CF663" w14:textId="13AB9FC4" w:rsidR="00B2315B" w:rsidRPr="00520C7C" w:rsidRDefault="00B2315B" w:rsidP="00B2315B">
            <w:pPr>
              <w:jc w:val="right"/>
              <w:rPr>
                <w:sz w:val="20"/>
                <w:szCs w:val="20"/>
              </w:rPr>
            </w:pPr>
            <w:r w:rsidRPr="00520C7C">
              <w:rPr>
                <w:sz w:val="20"/>
                <w:szCs w:val="20"/>
              </w:rPr>
              <w:t>5.0 (1.0 - 8.0)</w:t>
            </w:r>
          </w:p>
        </w:tc>
        <w:tc>
          <w:tcPr>
            <w:tcW w:w="484" w:type="pct"/>
            <w:shd w:val="clear" w:color="auto" w:fill="auto"/>
            <w:vAlign w:val="center"/>
          </w:tcPr>
          <w:p w14:paraId="2FC4E724" w14:textId="77777777" w:rsidR="00B2315B" w:rsidRPr="00520C7C" w:rsidRDefault="00B2315B" w:rsidP="00B2315B">
            <w:pPr>
              <w:jc w:val="right"/>
              <w:rPr>
                <w:sz w:val="20"/>
                <w:szCs w:val="20"/>
              </w:rPr>
            </w:pPr>
            <w:r w:rsidRPr="00520C7C">
              <w:rPr>
                <w:sz w:val="20"/>
                <w:szCs w:val="20"/>
              </w:rPr>
              <w:t>-1.990</w:t>
            </w:r>
          </w:p>
        </w:tc>
        <w:tc>
          <w:tcPr>
            <w:tcW w:w="136" w:type="pct"/>
          </w:tcPr>
          <w:p w14:paraId="2FE42C3E" w14:textId="7A27718A" w:rsidR="00B2315B" w:rsidRPr="00520C7C" w:rsidRDefault="00B2315B" w:rsidP="00B2315B">
            <w:pPr>
              <w:jc w:val="right"/>
              <w:rPr>
                <w:sz w:val="20"/>
                <w:szCs w:val="20"/>
              </w:rPr>
            </w:pPr>
          </w:p>
        </w:tc>
        <w:tc>
          <w:tcPr>
            <w:tcW w:w="959" w:type="pct"/>
            <w:shd w:val="clear" w:color="auto" w:fill="auto"/>
            <w:vAlign w:val="center"/>
          </w:tcPr>
          <w:p w14:paraId="5F820A08" w14:textId="2A94A761" w:rsidR="00B2315B" w:rsidRPr="00520C7C" w:rsidRDefault="00B2315B" w:rsidP="00195DBF">
            <w:pPr>
              <w:rPr>
                <w:sz w:val="20"/>
                <w:szCs w:val="20"/>
              </w:rPr>
            </w:pPr>
            <w:r w:rsidRPr="00520C7C">
              <w:rPr>
                <w:sz w:val="20"/>
                <w:szCs w:val="20"/>
              </w:rPr>
              <w:t>-3.0 (-4.0 - 0.0)</w:t>
            </w:r>
          </w:p>
        </w:tc>
      </w:tr>
      <w:tr w:rsidR="00520C7C" w:rsidRPr="00520C7C" w14:paraId="22F687E1" w14:textId="77777777" w:rsidTr="00195DBF">
        <w:trPr>
          <w:trHeight w:val="284"/>
        </w:trPr>
        <w:tc>
          <w:tcPr>
            <w:tcW w:w="1468" w:type="pct"/>
            <w:shd w:val="clear" w:color="auto" w:fill="auto"/>
          </w:tcPr>
          <w:p w14:paraId="5656C47B" w14:textId="448184C0" w:rsidR="00B2315B" w:rsidRPr="00520C7C" w:rsidRDefault="00B2315B" w:rsidP="00B2315B">
            <w:pPr>
              <w:rPr>
                <w:sz w:val="20"/>
                <w:szCs w:val="20"/>
              </w:rPr>
            </w:pPr>
            <w:r w:rsidRPr="00520C7C">
              <w:rPr>
                <w:sz w:val="20"/>
                <w:szCs w:val="20"/>
              </w:rPr>
              <w:t>*Fitness only (n=3)</w:t>
            </w:r>
          </w:p>
        </w:tc>
        <w:tc>
          <w:tcPr>
            <w:tcW w:w="975" w:type="pct"/>
            <w:shd w:val="clear" w:color="auto" w:fill="auto"/>
            <w:vAlign w:val="center"/>
          </w:tcPr>
          <w:p w14:paraId="59BC7F12" w14:textId="1D675214" w:rsidR="00B2315B" w:rsidRPr="00520C7C" w:rsidRDefault="00B2315B" w:rsidP="00B2315B">
            <w:pPr>
              <w:jc w:val="right"/>
              <w:rPr>
                <w:sz w:val="20"/>
                <w:szCs w:val="20"/>
              </w:rPr>
            </w:pPr>
            <w:r w:rsidRPr="00520C7C">
              <w:rPr>
                <w:sz w:val="20"/>
                <w:szCs w:val="20"/>
              </w:rPr>
              <w:t>9.0</w:t>
            </w:r>
            <w:r w:rsidR="00F50C60" w:rsidRPr="00520C7C">
              <w:rPr>
                <w:sz w:val="20"/>
                <w:szCs w:val="20"/>
              </w:rPr>
              <w:t xml:space="preserve"> (5.0 – 10.0)</w:t>
            </w:r>
          </w:p>
        </w:tc>
        <w:tc>
          <w:tcPr>
            <w:tcW w:w="977" w:type="pct"/>
            <w:shd w:val="clear" w:color="auto" w:fill="auto"/>
            <w:vAlign w:val="center"/>
          </w:tcPr>
          <w:p w14:paraId="2F63ADF5" w14:textId="37F5D905" w:rsidR="00B2315B" w:rsidRPr="00520C7C" w:rsidRDefault="00B2315B" w:rsidP="00B2315B">
            <w:pPr>
              <w:jc w:val="right"/>
              <w:rPr>
                <w:sz w:val="20"/>
                <w:szCs w:val="20"/>
              </w:rPr>
            </w:pPr>
            <w:r w:rsidRPr="00520C7C">
              <w:rPr>
                <w:sz w:val="20"/>
                <w:szCs w:val="20"/>
              </w:rPr>
              <w:t>2.0</w:t>
            </w:r>
            <w:r w:rsidR="00F50C60" w:rsidRPr="00520C7C">
              <w:rPr>
                <w:sz w:val="20"/>
                <w:szCs w:val="20"/>
              </w:rPr>
              <w:t xml:space="preserve"> (1.0 – 8.0)</w:t>
            </w:r>
          </w:p>
        </w:tc>
        <w:tc>
          <w:tcPr>
            <w:tcW w:w="484" w:type="pct"/>
            <w:shd w:val="clear" w:color="auto" w:fill="auto"/>
            <w:vAlign w:val="center"/>
          </w:tcPr>
          <w:p w14:paraId="1E15505F" w14:textId="77777777" w:rsidR="00B2315B" w:rsidRPr="00520C7C" w:rsidRDefault="00B2315B" w:rsidP="00B2315B">
            <w:pPr>
              <w:jc w:val="right"/>
              <w:rPr>
                <w:sz w:val="20"/>
                <w:szCs w:val="20"/>
              </w:rPr>
            </w:pPr>
          </w:p>
        </w:tc>
        <w:tc>
          <w:tcPr>
            <w:tcW w:w="136" w:type="pct"/>
          </w:tcPr>
          <w:p w14:paraId="32B9011D" w14:textId="77777777" w:rsidR="00B2315B" w:rsidRPr="00520C7C" w:rsidRDefault="00B2315B" w:rsidP="00195DBF">
            <w:pPr>
              <w:rPr>
                <w:sz w:val="20"/>
                <w:szCs w:val="20"/>
              </w:rPr>
            </w:pPr>
          </w:p>
        </w:tc>
        <w:tc>
          <w:tcPr>
            <w:tcW w:w="959" w:type="pct"/>
            <w:shd w:val="clear" w:color="auto" w:fill="auto"/>
            <w:vAlign w:val="center"/>
          </w:tcPr>
          <w:p w14:paraId="7E6C7CA3" w14:textId="36BE765B" w:rsidR="00B2315B" w:rsidRPr="00520C7C" w:rsidRDefault="00B2315B" w:rsidP="00195DBF">
            <w:pPr>
              <w:rPr>
                <w:sz w:val="20"/>
                <w:szCs w:val="20"/>
              </w:rPr>
            </w:pPr>
            <w:r w:rsidRPr="00520C7C">
              <w:rPr>
                <w:sz w:val="20"/>
                <w:szCs w:val="20"/>
              </w:rPr>
              <w:t>-3.0</w:t>
            </w:r>
            <w:r w:rsidR="00F50C60" w:rsidRPr="00520C7C">
              <w:rPr>
                <w:sz w:val="20"/>
                <w:szCs w:val="20"/>
              </w:rPr>
              <w:t xml:space="preserve"> (-8.00 - -2.0)</w:t>
            </w:r>
          </w:p>
        </w:tc>
      </w:tr>
      <w:tr w:rsidR="00520C7C" w:rsidRPr="00520C7C" w14:paraId="0ED228FF" w14:textId="77777777" w:rsidTr="00195DBF">
        <w:trPr>
          <w:trHeight w:val="284"/>
        </w:trPr>
        <w:tc>
          <w:tcPr>
            <w:tcW w:w="5000" w:type="pct"/>
            <w:gridSpan w:val="6"/>
            <w:shd w:val="clear" w:color="auto" w:fill="auto"/>
            <w:vAlign w:val="center"/>
          </w:tcPr>
          <w:p w14:paraId="7D505B79" w14:textId="5CA4D6E7" w:rsidR="00B2315B" w:rsidRPr="00520C7C" w:rsidRDefault="00B2315B" w:rsidP="00B2315B">
            <w:pPr>
              <w:rPr>
                <w:rFonts w:asciiTheme="minorHAnsi" w:hAnsiTheme="minorHAnsi" w:cstheme="minorBidi"/>
                <w:sz w:val="20"/>
                <w:szCs w:val="20"/>
              </w:rPr>
            </w:pPr>
            <w:r w:rsidRPr="00520C7C">
              <w:rPr>
                <w:b/>
                <w:bCs/>
                <w:sz w:val="20"/>
                <w:szCs w:val="20"/>
              </w:rPr>
              <w:t>Depression scale</w:t>
            </w:r>
          </w:p>
        </w:tc>
      </w:tr>
      <w:tr w:rsidR="00520C7C" w:rsidRPr="00520C7C" w14:paraId="1456BC9D" w14:textId="77777777" w:rsidTr="00195DBF">
        <w:trPr>
          <w:trHeight w:val="284"/>
        </w:trPr>
        <w:tc>
          <w:tcPr>
            <w:tcW w:w="1468" w:type="pct"/>
            <w:shd w:val="clear" w:color="auto" w:fill="auto"/>
            <w:vAlign w:val="center"/>
          </w:tcPr>
          <w:p w14:paraId="2F7B71D0" w14:textId="5F462429" w:rsidR="00B2315B" w:rsidRPr="00520C7C" w:rsidRDefault="00A018D7" w:rsidP="00A018D7">
            <w:pPr>
              <w:rPr>
                <w:sz w:val="20"/>
                <w:szCs w:val="20"/>
              </w:rPr>
            </w:pPr>
            <w:r w:rsidRPr="00520C7C">
              <w:rPr>
                <w:sz w:val="20"/>
                <w:szCs w:val="20"/>
              </w:rPr>
              <w:t>Momenta-F</w:t>
            </w:r>
            <w:r w:rsidR="00B2315B" w:rsidRPr="00520C7C">
              <w:rPr>
                <w:sz w:val="20"/>
                <w:szCs w:val="20"/>
              </w:rPr>
              <w:t>itness (n=15)</w:t>
            </w:r>
          </w:p>
        </w:tc>
        <w:tc>
          <w:tcPr>
            <w:tcW w:w="975" w:type="pct"/>
            <w:shd w:val="clear" w:color="auto" w:fill="auto"/>
            <w:vAlign w:val="center"/>
          </w:tcPr>
          <w:p w14:paraId="2DCA14BA" w14:textId="77777777" w:rsidR="00B2315B" w:rsidRPr="00520C7C" w:rsidRDefault="00B2315B" w:rsidP="00B2315B">
            <w:pPr>
              <w:jc w:val="right"/>
              <w:rPr>
                <w:sz w:val="20"/>
                <w:szCs w:val="20"/>
              </w:rPr>
            </w:pPr>
            <w:r w:rsidRPr="00520C7C">
              <w:rPr>
                <w:sz w:val="20"/>
                <w:szCs w:val="20"/>
              </w:rPr>
              <w:t>7.0 (3.3 - 11.3)</w:t>
            </w:r>
          </w:p>
        </w:tc>
        <w:tc>
          <w:tcPr>
            <w:tcW w:w="977" w:type="pct"/>
            <w:shd w:val="clear" w:color="auto" w:fill="auto"/>
            <w:vAlign w:val="center"/>
          </w:tcPr>
          <w:p w14:paraId="3C89E715" w14:textId="7015F7EE" w:rsidR="00B2315B" w:rsidRPr="00520C7C" w:rsidRDefault="00B2315B" w:rsidP="00B2315B">
            <w:pPr>
              <w:jc w:val="right"/>
              <w:rPr>
                <w:sz w:val="20"/>
                <w:szCs w:val="20"/>
              </w:rPr>
            </w:pPr>
            <w:r w:rsidRPr="00520C7C">
              <w:rPr>
                <w:sz w:val="20"/>
                <w:szCs w:val="20"/>
              </w:rPr>
              <w:t>3.5 (1.0 - 6.0)</w:t>
            </w:r>
          </w:p>
        </w:tc>
        <w:tc>
          <w:tcPr>
            <w:tcW w:w="484" w:type="pct"/>
            <w:shd w:val="clear" w:color="auto" w:fill="auto"/>
            <w:vAlign w:val="center"/>
          </w:tcPr>
          <w:p w14:paraId="1172DD5C" w14:textId="77777777" w:rsidR="00B2315B" w:rsidRPr="00520C7C" w:rsidRDefault="00B2315B" w:rsidP="00B2315B">
            <w:pPr>
              <w:jc w:val="right"/>
              <w:rPr>
                <w:sz w:val="20"/>
                <w:szCs w:val="20"/>
              </w:rPr>
            </w:pPr>
            <w:r w:rsidRPr="00520C7C">
              <w:rPr>
                <w:sz w:val="20"/>
                <w:szCs w:val="20"/>
              </w:rPr>
              <w:t>-2.908</w:t>
            </w:r>
          </w:p>
        </w:tc>
        <w:tc>
          <w:tcPr>
            <w:tcW w:w="136" w:type="pct"/>
          </w:tcPr>
          <w:p w14:paraId="7EA2C5E5" w14:textId="163CE6B7" w:rsidR="00B2315B" w:rsidRPr="00520C7C" w:rsidRDefault="00B2315B" w:rsidP="00B2315B">
            <w:pPr>
              <w:jc w:val="right"/>
              <w:rPr>
                <w:sz w:val="20"/>
                <w:szCs w:val="20"/>
              </w:rPr>
            </w:pPr>
          </w:p>
        </w:tc>
        <w:tc>
          <w:tcPr>
            <w:tcW w:w="959" w:type="pct"/>
            <w:shd w:val="clear" w:color="auto" w:fill="auto"/>
            <w:vAlign w:val="center"/>
          </w:tcPr>
          <w:p w14:paraId="458EDA3A" w14:textId="1EAEE481" w:rsidR="00B2315B" w:rsidRPr="00520C7C" w:rsidRDefault="00B2315B" w:rsidP="00195DBF">
            <w:pPr>
              <w:rPr>
                <w:sz w:val="20"/>
                <w:szCs w:val="20"/>
              </w:rPr>
            </w:pPr>
            <w:r w:rsidRPr="00520C7C">
              <w:rPr>
                <w:sz w:val="20"/>
                <w:szCs w:val="20"/>
              </w:rPr>
              <w:t>-3.5 (-6.3 - -0.8)</w:t>
            </w:r>
          </w:p>
        </w:tc>
      </w:tr>
      <w:tr w:rsidR="00520C7C" w:rsidRPr="00520C7C" w14:paraId="62A09F91" w14:textId="77777777" w:rsidTr="00195DBF">
        <w:trPr>
          <w:trHeight w:val="284"/>
        </w:trPr>
        <w:tc>
          <w:tcPr>
            <w:tcW w:w="1468" w:type="pct"/>
            <w:shd w:val="clear" w:color="auto" w:fill="auto"/>
            <w:vAlign w:val="center"/>
          </w:tcPr>
          <w:p w14:paraId="5E8E88D5" w14:textId="77777777" w:rsidR="00B2315B" w:rsidRPr="00520C7C" w:rsidRDefault="00B2315B" w:rsidP="00B2315B">
            <w:pPr>
              <w:rPr>
                <w:sz w:val="20"/>
                <w:szCs w:val="20"/>
              </w:rPr>
            </w:pPr>
            <w:r w:rsidRPr="00520C7C">
              <w:rPr>
                <w:sz w:val="20"/>
                <w:szCs w:val="20"/>
              </w:rPr>
              <w:t>Momenta only (n=15)</w:t>
            </w:r>
          </w:p>
        </w:tc>
        <w:tc>
          <w:tcPr>
            <w:tcW w:w="975" w:type="pct"/>
            <w:shd w:val="clear" w:color="auto" w:fill="auto"/>
            <w:vAlign w:val="center"/>
          </w:tcPr>
          <w:p w14:paraId="1D243D41" w14:textId="77777777" w:rsidR="00B2315B" w:rsidRPr="00520C7C" w:rsidRDefault="00B2315B" w:rsidP="00B2315B">
            <w:pPr>
              <w:jc w:val="right"/>
              <w:rPr>
                <w:sz w:val="20"/>
                <w:szCs w:val="20"/>
              </w:rPr>
            </w:pPr>
            <w:r w:rsidRPr="00520C7C">
              <w:rPr>
                <w:sz w:val="20"/>
                <w:szCs w:val="20"/>
              </w:rPr>
              <w:t>4.0 (1.0 -   6.0)</w:t>
            </w:r>
          </w:p>
        </w:tc>
        <w:tc>
          <w:tcPr>
            <w:tcW w:w="977" w:type="pct"/>
            <w:shd w:val="clear" w:color="auto" w:fill="auto"/>
            <w:vAlign w:val="center"/>
          </w:tcPr>
          <w:p w14:paraId="124EB358" w14:textId="31F5929E" w:rsidR="00B2315B" w:rsidRPr="00520C7C" w:rsidRDefault="00B2315B" w:rsidP="00B2315B">
            <w:pPr>
              <w:jc w:val="right"/>
              <w:rPr>
                <w:sz w:val="20"/>
                <w:szCs w:val="20"/>
              </w:rPr>
            </w:pPr>
            <w:r w:rsidRPr="00520C7C">
              <w:rPr>
                <w:sz w:val="20"/>
                <w:szCs w:val="20"/>
              </w:rPr>
              <w:t>3.0 (1.0 - 4.0)</w:t>
            </w:r>
          </w:p>
        </w:tc>
        <w:tc>
          <w:tcPr>
            <w:tcW w:w="484" w:type="pct"/>
            <w:shd w:val="clear" w:color="auto" w:fill="auto"/>
            <w:vAlign w:val="center"/>
          </w:tcPr>
          <w:p w14:paraId="7042EA71" w14:textId="77777777" w:rsidR="00B2315B" w:rsidRPr="00520C7C" w:rsidRDefault="00B2315B" w:rsidP="00B2315B">
            <w:pPr>
              <w:jc w:val="right"/>
              <w:rPr>
                <w:sz w:val="20"/>
                <w:szCs w:val="20"/>
              </w:rPr>
            </w:pPr>
            <w:r w:rsidRPr="00520C7C">
              <w:rPr>
                <w:sz w:val="20"/>
                <w:szCs w:val="20"/>
              </w:rPr>
              <w:t>-0.762</w:t>
            </w:r>
          </w:p>
        </w:tc>
        <w:tc>
          <w:tcPr>
            <w:tcW w:w="136" w:type="pct"/>
          </w:tcPr>
          <w:p w14:paraId="5228E916" w14:textId="396BBFCA" w:rsidR="00B2315B" w:rsidRPr="00520C7C" w:rsidRDefault="00B2315B" w:rsidP="00B2315B">
            <w:pPr>
              <w:jc w:val="right"/>
              <w:rPr>
                <w:sz w:val="20"/>
                <w:szCs w:val="20"/>
              </w:rPr>
            </w:pPr>
          </w:p>
        </w:tc>
        <w:tc>
          <w:tcPr>
            <w:tcW w:w="959" w:type="pct"/>
            <w:shd w:val="clear" w:color="auto" w:fill="auto"/>
            <w:vAlign w:val="center"/>
          </w:tcPr>
          <w:p w14:paraId="0682CA89" w14:textId="3680FC8F" w:rsidR="00B2315B" w:rsidRPr="00520C7C" w:rsidRDefault="00B2315B" w:rsidP="00195DBF">
            <w:pPr>
              <w:rPr>
                <w:sz w:val="20"/>
                <w:szCs w:val="20"/>
              </w:rPr>
            </w:pPr>
            <w:r w:rsidRPr="00520C7C">
              <w:rPr>
                <w:sz w:val="20"/>
                <w:szCs w:val="20"/>
              </w:rPr>
              <w:t>0.0 (-2.0 - 1.0)</w:t>
            </w:r>
          </w:p>
        </w:tc>
      </w:tr>
      <w:tr w:rsidR="00520C7C" w:rsidRPr="00520C7C" w14:paraId="4E017E5E" w14:textId="77777777" w:rsidTr="00195DBF">
        <w:trPr>
          <w:trHeight w:val="284"/>
        </w:trPr>
        <w:tc>
          <w:tcPr>
            <w:tcW w:w="1468" w:type="pct"/>
            <w:shd w:val="clear" w:color="auto" w:fill="auto"/>
          </w:tcPr>
          <w:p w14:paraId="365E39DF" w14:textId="077040BF" w:rsidR="00B2315B" w:rsidRPr="00520C7C" w:rsidRDefault="00B2315B" w:rsidP="00B2315B">
            <w:pPr>
              <w:rPr>
                <w:sz w:val="20"/>
                <w:szCs w:val="20"/>
              </w:rPr>
            </w:pPr>
            <w:r w:rsidRPr="00520C7C">
              <w:rPr>
                <w:sz w:val="20"/>
                <w:szCs w:val="20"/>
              </w:rPr>
              <w:t>*Fitness only (n=3)</w:t>
            </w:r>
          </w:p>
        </w:tc>
        <w:tc>
          <w:tcPr>
            <w:tcW w:w="975" w:type="pct"/>
            <w:shd w:val="clear" w:color="auto" w:fill="auto"/>
            <w:vAlign w:val="center"/>
          </w:tcPr>
          <w:p w14:paraId="57DF0085" w14:textId="096219FA" w:rsidR="00B2315B" w:rsidRPr="00520C7C" w:rsidRDefault="00B2315B" w:rsidP="00B2315B">
            <w:pPr>
              <w:jc w:val="right"/>
              <w:rPr>
                <w:sz w:val="20"/>
                <w:szCs w:val="20"/>
              </w:rPr>
            </w:pPr>
            <w:r w:rsidRPr="00520C7C">
              <w:rPr>
                <w:sz w:val="20"/>
                <w:szCs w:val="20"/>
              </w:rPr>
              <w:t>3.0</w:t>
            </w:r>
            <w:r w:rsidR="00F50C60" w:rsidRPr="00520C7C">
              <w:rPr>
                <w:sz w:val="20"/>
                <w:szCs w:val="20"/>
              </w:rPr>
              <w:t xml:space="preserve"> (0.0 – 8.0)</w:t>
            </w:r>
          </w:p>
        </w:tc>
        <w:tc>
          <w:tcPr>
            <w:tcW w:w="977" w:type="pct"/>
            <w:shd w:val="clear" w:color="auto" w:fill="auto"/>
            <w:vAlign w:val="center"/>
          </w:tcPr>
          <w:p w14:paraId="2123C65C" w14:textId="260C5406" w:rsidR="00B2315B" w:rsidRPr="00520C7C" w:rsidRDefault="00B2315B" w:rsidP="00B2315B">
            <w:pPr>
              <w:jc w:val="right"/>
              <w:rPr>
                <w:sz w:val="20"/>
                <w:szCs w:val="20"/>
              </w:rPr>
            </w:pPr>
            <w:r w:rsidRPr="00520C7C">
              <w:rPr>
                <w:sz w:val="20"/>
                <w:szCs w:val="20"/>
              </w:rPr>
              <w:t>2.0</w:t>
            </w:r>
            <w:r w:rsidR="00F50C60" w:rsidRPr="00520C7C">
              <w:rPr>
                <w:sz w:val="20"/>
                <w:szCs w:val="20"/>
              </w:rPr>
              <w:t xml:space="preserve"> (1.0 – 8.0)</w:t>
            </w:r>
          </w:p>
        </w:tc>
        <w:tc>
          <w:tcPr>
            <w:tcW w:w="484" w:type="pct"/>
            <w:shd w:val="clear" w:color="auto" w:fill="auto"/>
            <w:vAlign w:val="center"/>
          </w:tcPr>
          <w:p w14:paraId="747D7B4E" w14:textId="77777777" w:rsidR="00B2315B" w:rsidRPr="00520C7C" w:rsidRDefault="00B2315B" w:rsidP="00B2315B">
            <w:pPr>
              <w:jc w:val="right"/>
              <w:rPr>
                <w:sz w:val="20"/>
                <w:szCs w:val="20"/>
              </w:rPr>
            </w:pPr>
          </w:p>
        </w:tc>
        <w:tc>
          <w:tcPr>
            <w:tcW w:w="136" w:type="pct"/>
          </w:tcPr>
          <w:p w14:paraId="0CF04EE8" w14:textId="77777777" w:rsidR="00B2315B" w:rsidRPr="00520C7C" w:rsidRDefault="00B2315B" w:rsidP="00B2315B">
            <w:pPr>
              <w:jc w:val="right"/>
              <w:rPr>
                <w:sz w:val="20"/>
                <w:szCs w:val="20"/>
              </w:rPr>
            </w:pPr>
          </w:p>
        </w:tc>
        <w:tc>
          <w:tcPr>
            <w:tcW w:w="959" w:type="pct"/>
            <w:shd w:val="clear" w:color="auto" w:fill="auto"/>
            <w:vAlign w:val="center"/>
          </w:tcPr>
          <w:p w14:paraId="7A0FDF96" w14:textId="7F9A9160" w:rsidR="00B2315B" w:rsidRPr="00520C7C" w:rsidRDefault="00B2315B" w:rsidP="00195DBF">
            <w:pPr>
              <w:rPr>
                <w:sz w:val="20"/>
                <w:szCs w:val="20"/>
              </w:rPr>
            </w:pPr>
            <w:r w:rsidRPr="00520C7C">
              <w:rPr>
                <w:sz w:val="20"/>
                <w:szCs w:val="20"/>
              </w:rPr>
              <w:t>1.0</w:t>
            </w:r>
            <w:r w:rsidR="00F50C60" w:rsidRPr="00520C7C">
              <w:rPr>
                <w:sz w:val="20"/>
                <w:szCs w:val="20"/>
              </w:rPr>
              <w:t xml:space="preserve"> (-8.0 – 5.0)</w:t>
            </w:r>
          </w:p>
        </w:tc>
      </w:tr>
      <w:tr w:rsidR="00F50C60" w:rsidRPr="00520C7C" w14:paraId="109E6F04" w14:textId="77777777" w:rsidTr="00195DBF">
        <w:trPr>
          <w:trHeight w:val="319"/>
        </w:trPr>
        <w:tc>
          <w:tcPr>
            <w:tcW w:w="5000" w:type="pct"/>
            <w:gridSpan w:val="6"/>
            <w:shd w:val="clear" w:color="auto" w:fill="auto"/>
            <w:vAlign w:val="bottom"/>
          </w:tcPr>
          <w:p w14:paraId="008F9DC4" w14:textId="77777777" w:rsidR="00F50C60" w:rsidRPr="00520C7C" w:rsidRDefault="00F50C60" w:rsidP="00F50C60">
            <w:pPr>
              <w:rPr>
                <w:i/>
                <w:sz w:val="20"/>
                <w:szCs w:val="20"/>
              </w:rPr>
            </w:pPr>
          </w:p>
          <w:p w14:paraId="56799037" w14:textId="30D798FF" w:rsidR="00F50C60" w:rsidRPr="00520C7C" w:rsidRDefault="00F50C60" w:rsidP="00F50C60">
            <w:pPr>
              <w:rPr>
                <w:i/>
                <w:sz w:val="20"/>
                <w:szCs w:val="20"/>
              </w:rPr>
            </w:pPr>
            <w:r w:rsidRPr="00520C7C">
              <w:rPr>
                <w:i/>
                <w:sz w:val="20"/>
                <w:szCs w:val="20"/>
              </w:rPr>
              <w:t>*</w:t>
            </w:r>
            <w:r w:rsidRPr="00520C7C">
              <w:rPr>
                <w:sz w:val="20"/>
                <w:szCs w:val="20"/>
              </w:rPr>
              <w:t xml:space="preserve"> </w:t>
            </w:r>
            <w:r w:rsidRPr="00520C7C">
              <w:rPr>
                <w:i/>
                <w:sz w:val="20"/>
                <w:szCs w:val="20"/>
              </w:rPr>
              <w:t>Fitness only n=3 therefore median and range reported and no statistical test completed.</w:t>
            </w:r>
          </w:p>
        </w:tc>
      </w:tr>
    </w:tbl>
    <w:p w14:paraId="29A1067D" w14:textId="04349D1D" w:rsidR="00B44396" w:rsidRPr="00520C7C" w:rsidRDefault="00BD4A60" w:rsidP="00EB555B">
      <w:pPr>
        <w:spacing w:line="480" w:lineRule="auto"/>
        <w:rPr>
          <w:i/>
          <w:sz w:val="20"/>
          <w:szCs w:val="20"/>
        </w:rPr>
      </w:pPr>
      <w:r>
        <w:rPr>
          <w:i/>
          <w:sz w:val="20"/>
          <w:szCs w:val="20"/>
        </w:rPr>
        <w:t xml:space="preserve">   </w:t>
      </w:r>
    </w:p>
    <w:p w14:paraId="495C690D" w14:textId="77777777" w:rsidR="00B44396" w:rsidRPr="00520C7C" w:rsidRDefault="00B44396" w:rsidP="00EB555B">
      <w:pPr>
        <w:spacing w:line="480" w:lineRule="auto"/>
      </w:pPr>
    </w:p>
    <w:p w14:paraId="6C56DFC4" w14:textId="2DE2AB30" w:rsidR="004C4A50" w:rsidRPr="00F97013" w:rsidRDefault="008C16BB" w:rsidP="00EB555B">
      <w:pPr>
        <w:spacing w:line="480" w:lineRule="auto"/>
      </w:pPr>
      <w:r w:rsidRPr="00F97013">
        <w:t xml:space="preserve">Overall, the </w:t>
      </w:r>
      <w:r w:rsidR="00FD6C44" w:rsidRPr="00F97013">
        <w:t xml:space="preserve">results </w:t>
      </w:r>
      <w:r w:rsidRPr="00F97013">
        <w:t xml:space="preserve">suggested </w:t>
      </w:r>
      <w:r w:rsidR="00FD6C44" w:rsidRPr="00F97013">
        <w:t xml:space="preserve">those who participated in </w:t>
      </w:r>
      <w:r w:rsidR="008B396A" w:rsidRPr="00F97013">
        <w:t xml:space="preserve">the </w:t>
      </w:r>
      <w:r w:rsidR="00955B91" w:rsidRPr="00F97013">
        <w:t xml:space="preserve">two </w:t>
      </w:r>
      <w:r w:rsidR="008B396A" w:rsidRPr="00F97013">
        <w:t>groups in</w:t>
      </w:r>
      <w:r w:rsidR="00955B91" w:rsidRPr="00F97013">
        <w:t xml:space="preserve">corporating </w:t>
      </w:r>
      <w:r w:rsidR="00FD6C44" w:rsidRPr="00F97013">
        <w:t>Momenta</w:t>
      </w:r>
      <w:r w:rsidR="008B396A" w:rsidRPr="00F97013">
        <w:t>,</w:t>
      </w:r>
      <w:r w:rsidR="00FD6C44" w:rsidRPr="00F97013">
        <w:t xml:space="preserve"> had enhanced physical and psychological health indicators </w:t>
      </w:r>
      <w:r w:rsidR="003B154C" w:rsidRPr="00F97013">
        <w:t xml:space="preserve">from baseline, </w:t>
      </w:r>
      <w:proofErr w:type="gramStart"/>
      <w:r w:rsidR="003B154C" w:rsidRPr="00F97013">
        <w:t>whereas</w:t>
      </w:r>
      <w:proofErr w:type="gramEnd"/>
      <w:r w:rsidR="003B154C" w:rsidRPr="00F97013">
        <w:t xml:space="preserve"> </w:t>
      </w:r>
      <w:r w:rsidR="00FD6C44" w:rsidRPr="00F97013">
        <w:t xml:space="preserve">those who had </w:t>
      </w:r>
      <w:r w:rsidR="008B396A" w:rsidRPr="00F97013">
        <w:t xml:space="preserve">only free </w:t>
      </w:r>
      <w:r w:rsidR="00FD6C44" w:rsidRPr="00F97013">
        <w:t xml:space="preserve">fitness membership </w:t>
      </w:r>
      <w:r w:rsidR="003B154C" w:rsidRPr="00F97013">
        <w:t>did not</w:t>
      </w:r>
      <w:r w:rsidR="00FD6C44" w:rsidRPr="00F97013">
        <w:t xml:space="preserve">. </w:t>
      </w:r>
      <w:r w:rsidR="00531273" w:rsidRPr="00F97013">
        <w:t xml:space="preserve">From the </w:t>
      </w:r>
      <w:r w:rsidR="00BA3D4D" w:rsidRPr="00F97013">
        <w:t>small follow-up sample,</w:t>
      </w:r>
      <w:r w:rsidR="00FD6C44" w:rsidRPr="00F97013">
        <w:t xml:space="preserve"> </w:t>
      </w:r>
      <w:r w:rsidR="00531273" w:rsidRPr="00F97013">
        <w:t xml:space="preserve">there is scope to suggest that </w:t>
      </w:r>
      <w:r w:rsidR="00FD6C44" w:rsidRPr="00F97013">
        <w:t xml:space="preserve">the combination of Momenta and fitness membership </w:t>
      </w:r>
      <w:r w:rsidR="00531273" w:rsidRPr="00F97013">
        <w:t xml:space="preserve">may </w:t>
      </w:r>
      <w:r w:rsidR="00FD6C44" w:rsidRPr="00F97013">
        <w:t>produce</w:t>
      </w:r>
      <w:r w:rsidR="00531273" w:rsidRPr="00F97013">
        <w:t xml:space="preserve"> favourable</w:t>
      </w:r>
      <w:r w:rsidR="00FD6C44" w:rsidRPr="00F97013">
        <w:t xml:space="preserve"> outcomes at </w:t>
      </w:r>
      <w:r w:rsidRPr="00F97013">
        <w:t>52 weeks</w:t>
      </w:r>
      <w:r w:rsidR="00FD6C44" w:rsidRPr="00F97013">
        <w:t>.</w:t>
      </w:r>
    </w:p>
    <w:p w14:paraId="728FD9D3" w14:textId="6F2A3340" w:rsidR="00531273" w:rsidRPr="00F97013" w:rsidRDefault="00531273" w:rsidP="00EB555B">
      <w:pPr>
        <w:spacing w:line="480" w:lineRule="auto"/>
      </w:pPr>
    </w:p>
    <w:p w14:paraId="118B2960" w14:textId="77777777" w:rsidR="00531273" w:rsidRPr="00F97013" w:rsidRDefault="00531273" w:rsidP="00531273">
      <w:pPr>
        <w:pStyle w:val="xmsonormal"/>
        <w:shd w:val="clear" w:color="auto" w:fill="FFFFFF"/>
        <w:spacing w:before="0" w:beforeAutospacing="0" w:after="0" w:afterAutospacing="0" w:line="480" w:lineRule="auto"/>
        <w:textAlignment w:val="baseline"/>
        <w:rPr>
          <w:b/>
        </w:rPr>
      </w:pPr>
      <w:r w:rsidRPr="00F97013">
        <w:rPr>
          <w:b/>
        </w:rPr>
        <w:t>Iterative refinements throughout the evaluation process</w:t>
      </w:r>
    </w:p>
    <w:p w14:paraId="22BF1487" w14:textId="77777777" w:rsidR="00531273" w:rsidRPr="00F97013" w:rsidRDefault="00531273" w:rsidP="00531273">
      <w:pPr>
        <w:pStyle w:val="xmsonormal"/>
        <w:shd w:val="clear" w:color="auto" w:fill="FFFFFF"/>
        <w:spacing w:before="0" w:beforeAutospacing="0" w:after="0" w:afterAutospacing="0" w:line="480" w:lineRule="auto"/>
        <w:textAlignment w:val="baseline"/>
        <w:rPr>
          <w:b/>
        </w:rPr>
      </w:pPr>
    </w:p>
    <w:p w14:paraId="178351EB" w14:textId="77777777" w:rsidR="00531273" w:rsidRPr="00F97013" w:rsidRDefault="00531273" w:rsidP="00531273">
      <w:pPr>
        <w:spacing w:line="480" w:lineRule="auto"/>
        <w:rPr>
          <w:szCs w:val="21"/>
        </w:rPr>
      </w:pPr>
      <w:r w:rsidRPr="00F97013">
        <w:rPr>
          <w:szCs w:val="21"/>
        </w:rPr>
        <w:t xml:space="preserve">Here we list a number of implementation </w:t>
      </w:r>
      <w:proofErr w:type="gramStart"/>
      <w:r w:rsidRPr="00F97013">
        <w:rPr>
          <w:szCs w:val="21"/>
        </w:rPr>
        <w:t>adjustments which</w:t>
      </w:r>
      <w:proofErr w:type="gramEnd"/>
      <w:r w:rsidRPr="00F97013">
        <w:rPr>
          <w:szCs w:val="21"/>
        </w:rPr>
        <w:t xml:space="preserve"> were made throughout the evaluation process, facilitated via the prototyping framework. Real-time advice from Commissioners </w:t>
      </w:r>
      <w:proofErr w:type="gramStart"/>
      <w:r w:rsidRPr="00F97013">
        <w:rPr>
          <w:szCs w:val="21"/>
        </w:rPr>
        <w:t>was considered</w:t>
      </w:r>
      <w:proofErr w:type="gramEnd"/>
      <w:r w:rsidRPr="00F97013">
        <w:rPr>
          <w:szCs w:val="21"/>
        </w:rPr>
        <w:t xml:space="preserve"> during early stages of implementation, regarding the nature of comparison offers (e.g. fitness access) and thus initial design and outcome measurements were adapted prior to referrals being made. To better-target recruitment and change the process of engagement at referral point, entry criteria were altered (BMI ≥30 kg/m</w:t>
      </w:r>
      <w:r w:rsidRPr="00F97013">
        <w:rPr>
          <w:szCs w:val="21"/>
          <w:vertAlign w:val="superscript"/>
        </w:rPr>
        <w:t>2</w:t>
      </w:r>
      <w:r w:rsidRPr="00F97013">
        <w:rPr>
          <w:szCs w:val="21"/>
        </w:rPr>
        <w:t xml:space="preserve">) mid-way through programme delivery.  On-site implementation of the service offer was adapted in response to delivery staff feedback: increased resource </w:t>
      </w:r>
      <w:proofErr w:type="gramStart"/>
      <w:r w:rsidRPr="00F97013">
        <w:rPr>
          <w:szCs w:val="21"/>
        </w:rPr>
        <w:t>was made</w:t>
      </w:r>
      <w:proofErr w:type="gramEnd"/>
      <w:r w:rsidRPr="00F97013">
        <w:rPr>
          <w:szCs w:val="21"/>
        </w:rPr>
        <w:t xml:space="preserve"> available, for example additional staffing to support delivery for the first wave of referrals. Furthermore, staff were given additional time for Momenta session preparation and session delivery times were extended. Follow-up activities (i.e., text or telephone contact) were implemented by staff during the process, to encourage adherence. </w:t>
      </w:r>
    </w:p>
    <w:p w14:paraId="0D8D5B67" w14:textId="77777777" w:rsidR="00117366" w:rsidRPr="00F97013" w:rsidRDefault="00117366" w:rsidP="00EB555B">
      <w:pPr>
        <w:pStyle w:val="xmsonormal"/>
        <w:shd w:val="clear" w:color="auto" w:fill="FFFFFF"/>
        <w:spacing w:before="0" w:beforeAutospacing="0" w:after="0" w:afterAutospacing="0" w:line="480" w:lineRule="auto"/>
        <w:textAlignment w:val="baseline"/>
      </w:pPr>
    </w:p>
    <w:p w14:paraId="2AABD056" w14:textId="7E34839C" w:rsidR="00F23CC8" w:rsidRPr="00F97013" w:rsidRDefault="00F23CC8" w:rsidP="00EB555B">
      <w:pPr>
        <w:shd w:val="clear" w:color="auto" w:fill="FFFFFF"/>
        <w:spacing w:line="480" w:lineRule="auto"/>
        <w:textAlignment w:val="baseline"/>
        <w:rPr>
          <w:rFonts w:eastAsia="MS PGothic"/>
          <w:b/>
          <w:szCs w:val="36"/>
        </w:rPr>
      </w:pPr>
      <w:r w:rsidRPr="00F97013">
        <w:rPr>
          <w:rFonts w:eastAsia="MS PGothic"/>
          <w:b/>
          <w:szCs w:val="36"/>
        </w:rPr>
        <w:t>D</w:t>
      </w:r>
      <w:r w:rsidR="00A5629B" w:rsidRPr="00F97013">
        <w:rPr>
          <w:rFonts w:eastAsia="MS PGothic"/>
          <w:b/>
          <w:szCs w:val="36"/>
        </w:rPr>
        <w:t>ISCUSSION</w:t>
      </w:r>
    </w:p>
    <w:p w14:paraId="3FA9F690" w14:textId="77777777" w:rsidR="004C4A50" w:rsidRPr="00F97013" w:rsidRDefault="004C4A50" w:rsidP="00EB555B">
      <w:pPr>
        <w:shd w:val="clear" w:color="auto" w:fill="FFFFFF"/>
        <w:spacing w:line="480" w:lineRule="auto"/>
        <w:textAlignment w:val="baseline"/>
        <w:rPr>
          <w:szCs w:val="36"/>
        </w:rPr>
      </w:pPr>
    </w:p>
    <w:p w14:paraId="25ADA044" w14:textId="21617257" w:rsidR="00F23CC8" w:rsidRPr="00F97013" w:rsidRDefault="003D6576" w:rsidP="004B2DC0">
      <w:pPr>
        <w:pStyle w:val="xmsonormal"/>
        <w:shd w:val="clear" w:color="auto" w:fill="FFFFFF"/>
        <w:spacing w:before="0" w:beforeAutospacing="0" w:after="0" w:afterAutospacing="0" w:line="480" w:lineRule="auto"/>
      </w:pPr>
      <w:r w:rsidRPr="00F97013">
        <w:rPr>
          <w:rFonts w:eastAsia="MS PGothic"/>
        </w:rPr>
        <w:t>We explored ‘prototyping’, as a cost-effective and time-efficient approach to public health evaluation</w:t>
      </w:r>
      <w:r w:rsidRPr="00F97013">
        <w:t>, via</w:t>
      </w:r>
      <w:r w:rsidR="00BE3DA2" w:rsidRPr="00F97013">
        <w:t xml:space="preserve"> </w:t>
      </w:r>
      <w:r w:rsidR="001C4A54" w:rsidRPr="00F97013">
        <w:t>an</w:t>
      </w:r>
      <w:r w:rsidR="000C02D1" w:rsidRPr="00F97013">
        <w:t xml:space="preserve"> ‘off-the-shelf’ </w:t>
      </w:r>
      <w:r w:rsidR="00BE3DA2" w:rsidRPr="00F97013">
        <w:t xml:space="preserve">weight management </w:t>
      </w:r>
      <w:r w:rsidR="00896C25" w:rsidRPr="00F97013">
        <w:t>programme</w:t>
      </w:r>
      <w:r w:rsidR="000C02D1" w:rsidRPr="00F97013">
        <w:t xml:space="preserve"> </w:t>
      </w:r>
      <w:r w:rsidRPr="00F97013">
        <w:t xml:space="preserve">implemented </w:t>
      </w:r>
      <w:r w:rsidR="000C02D1" w:rsidRPr="00F97013">
        <w:t>in a local context</w:t>
      </w:r>
      <w:r w:rsidR="00BE3DA2" w:rsidRPr="00F97013">
        <w:t xml:space="preserve"> </w:t>
      </w:r>
      <w:r w:rsidR="000C02D1" w:rsidRPr="00F97013">
        <w:t>of mixed and high deprivation.</w:t>
      </w:r>
      <w:r w:rsidR="004B2DC0" w:rsidRPr="00F97013">
        <w:t xml:space="preserve"> </w:t>
      </w:r>
    </w:p>
    <w:p w14:paraId="5D72B79C" w14:textId="77777777" w:rsidR="00790F93" w:rsidRPr="00F97013" w:rsidRDefault="00790F93" w:rsidP="00EB555B">
      <w:pPr>
        <w:kinsoku w:val="0"/>
        <w:overflowPunct w:val="0"/>
        <w:spacing w:line="480" w:lineRule="auto"/>
        <w:textAlignment w:val="baseline"/>
      </w:pPr>
    </w:p>
    <w:p w14:paraId="7DCC7BC1" w14:textId="7B869248" w:rsidR="00F23CC8" w:rsidRPr="00F97013" w:rsidRDefault="008A6E3B" w:rsidP="008304B1">
      <w:pPr>
        <w:kinsoku w:val="0"/>
        <w:overflowPunct w:val="0"/>
        <w:spacing w:line="480" w:lineRule="auto"/>
        <w:textAlignment w:val="baseline"/>
        <w:rPr>
          <w:i/>
        </w:rPr>
      </w:pPr>
      <w:r w:rsidRPr="00F97013">
        <w:t>E</w:t>
      </w:r>
      <w:r w:rsidR="00494149" w:rsidRPr="00F97013">
        <w:t xml:space="preserve">xperiences </w:t>
      </w:r>
      <w:r w:rsidRPr="00F97013">
        <w:t xml:space="preserve">of both referrers </w:t>
      </w:r>
      <w:r w:rsidR="00641FAD" w:rsidRPr="00F97013">
        <w:t xml:space="preserve">and referrals </w:t>
      </w:r>
      <w:r w:rsidR="00494149" w:rsidRPr="00F97013">
        <w:t xml:space="preserve">highlighted that </w:t>
      </w:r>
      <w:r w:rsidR="00D67D38" w:rsidRPr="00F97013">
        <w:t>HCPs</w:t>
      </w:r>
      <w:r w:rsidR="00F23CC8" w:rsidRPr="00F97013">
        <w:t xml:space="preserve"> </w:t>
      </w:r>
      <w:r w:rsidR="00151060" w:rsidRPr="00F97013">
        <w:t xml:space="preserve">needed </w:t>
      </w:r>
      <w:r w:rsidR="00F23CC8" w:rsidRPr="00F97013">
        <w:t>to be better-informed and more confident raising weight-related conversations</w:t>
      </w:r>
      <w:r w:rsidR="00AA5213" w:rsidRPr="00F97013">
        <w:t xml:space="preserve">. </w:t>
      </w:r>
      <w:r w:rsidR="00494149" w:rsidRPr="00F97013">
        <w:rPr>
          <w:shd w:val="clear" w:color="auto" w:fill="FFFFFF"/>
        </w:rPr>
        <w:t xml:space="preserve">Whilst patient-led action is desirable, staff reluctance to raise weight issues </w:t>
      </w:r>
      <w:r w:rsidR="00A140C0" w:rsidRPr="00F97013">
        <w:rPr>
          <w:shd w:val="clear" w:color="auto" w:fill="FFFFFF"/>
        </w:rPr>
        <w:t xml:space="preserve">may mean that </w:t>
      </w:r>
      <w:r w:rsidR="00494149" w:rsidRPr="00F97013">
        <w:rPr>
          <w:shd w:val="clear" w:color="auto" w:fill="FFFFFF"/>
        </w:rPr>
        <w:t>opportunities for engagement of less knowledgeable</w:t>
      </w:r>
      <w:r w:rsidR="00641FAD" w:rsidRPr="00F97013">
        <w:rPr>
          <w:shd w:val="clear" w:color="auto" w:fill="FFFFFF"/>
        </w:rPr>
        <w:t xml:space="preserve"> or</w:t>
      </w:r>
      <w:r w:rsidR="00494149" w:rsidRPr="00F97013">
        <w:rPr>
          <w:shd w:val="clear" w:color="auto" w:fill="FFFFFF"/>
        </w:rPr>
        <w:t xml:space="preserve"> motivated patients </w:t>
      </w:r>
      <w:proofErr w:type="gramStart"/>
      <w:r w:rsidR="00494149" w:rsidRPr="00F97013">
        <w:rPr>
          <w:shd w:val="clear" w:color="auto" w:fill="FFFFFF"/>
        </w:rPr>
        <w:t>will be missed</w:t>
      </w:r>
      <w:proofErr w:type="gramEnd"/>
      <w:r w:rsidR="00494149" w:rsidRPr="00F97013">
        <w:rPr>
          <w:shd w:val="clear" w:color="auto" w:fill="FFFFFF"/>
        </w:rPr>
        <w:t xml:space="preserve">. </w:t>
      </w:r>
      <w:r w:rsidR="00AA5213" w:rsidRPr="00F97013">
        <w:t>The problematic positioning of GP</w:t>
      </w:r>
      <w:r w:rsidR="00641FAD" w:rsidRPr="00F97013">
        <w:t>s</w:t>
      </w:r>
      <w:r w:rsidR="00AA5213" w:rsidRPr="00F97013">
        <w:t xml:space="preserve"> within obesity care</w:t>
      </w:r>
      <w:r w:rsidR="003E58BA" w:rsidRPr="00F97013">
        <w:t xml:space="preserve"> ha</w:t>
      </w:r>
      <w:r w:rsidR="00BA6297" w:rsidRPr="00F97013">
        <w:t>s been highlighted previously</w:t>
      </w:r>
      <w:proofErr w:type="gramStart"/>
      <w:r w:rsidR="005D6002" w:rsidRPr="00F97013">
        <w:t>,</w:t>
      </w:r>
      <w:r w:rsidR="00985C3A" w:rsidRPr="00F97013">
        <w:rPr>
          <w:vertAlign w:val="superscript"/>
        </w:rPr>
        <w:t>3</w:t>
      </w:r>
      <w:r w:rsidR="00D52067">
        <w:rPr>
          <w:vertAlign w:val="superscript"/>
        </w:rPr>
        <w:t>5</w:t>
      </w:r>
      <w:proofErr w:type="gramEnd"/>
      <w:r w:rsidR="003E58BA" w:rsidRPr="00F97013">
        <w:t xml:space="preserve"> </w:t>
      </w:r>
      <w:r w:rsidR="00A140C0" w:rsidRPr="00F97013">
        <w:t xml:space="preserve">with </w:t>
      </w:r>
      <w:r w:rsidR="003E58BA" w:rsidRPr="00F97013">
        <w:t xml:space="preserve">a range of strategies to change </w:t>
      </w:r>
      <w:proofErr w:type="spellStart"/>
      <w:r w:rsidR="008304B1" w:rsidRPr="00F97013">
        <w:t>HCPs</w:t>
      </w:r>
      <w:r w:rsidR="00D67D38" w:rsidRPr="00F97013">
        <w:t>’</w:t>
      </w:r>
      <w:proofErr w:type="spellEnd"/>
      <w:r w:rsidR="00641FAD" w:rsidRPr="00F97013">
        <w:t xml:space="preserve"> behaviour</w:t>
      </w:r>
      <w:r w:rsidR="003E58BA" w:rsidRPr="00F97013">
        <w:t xml:space="preserve"> result</w:t>
      </w:r>
      <w:r w:rsidR="00641FAD" w:rsidRPr="00F97013">
        <w:t>ing</w:t>
      </w:r>
      <w:r w:rsidR="003E58BA" w:rsidRPr="00F97013">
        <w:t xml:space="preserve"> in</w:t>
      </w:r>
      <w:r w:rsidR="00AA5213" w:rsidRPr="00F97013">
        <w:t xml:space="preserve"> </w:t>
      </w:r>
      <w:r w:rsidR="00BA6297" w:rsidRPr="00F97013">
        <w:t xml:space="preserve">little or no change </w:t>
      </w:r>
      <w:r w:rsidR="00641FAD" w:rsidRPr="00F97013">
        <w:t>to</w:t>
      </w:r>
      <w:r w:rsidR="00AA5213" w:rsidRPr="00F97013">
        <w:t xml:space="preserve"> </w:t>
      </w:r>
      <w:r w:rsidR="00641FAD" w:rsidRPr="00F97013">
        <w:t xml:space="preserve">patients’ </w:t>
      </w:r>
      <w:r w:rsidR="00AA5213" w:rsidRPr="00F97013">
        <w:t>weigh</w:t>
      </w:r>
      <w:r w:rsidR="00641FAD" w:rsidRPr="00F97013">
        <w:t>t</w:t>
      </w:r>
      <w:r w:rsidR="003E58BA" w:rsidRPr="00F97013">
        <w:t>.</w:t>
      </w:r>
      <w:r w:rsidR="00926BBE" w:rsidRPr="00F97013">
        <w:t xml:space="preserve"> </w:t>
      </w:r>
      <w:r w:rsidR="00641FAD" w:rsidRPr="00F97013">
        <w:t>A</w:t>
      </w:r>
      <w:r w:rsidR="00AA5213" w:rsidRPr="00F97013">
        <w:t xml:space="preserve"> </w:t>
      </w:r>
      <w:r w:rsidR="00641FAD" w:rsidRPr="00F97013">
        <w:t xml:space="preserve">practical </w:t>
      </w:r>
      <w:r w:rsidR="00AA5213" w:rsidRPr="00F97013">
        <w:t xml:space="preserve">training need </w:t>
      </w:r>
      <w:r w:rsidR="00926BBE" w:rsidRPr="00F97013">
        <w:t xml:space="preserve">is highlighted </w:t>
      </w:r>
      <w:r w:rsidR="00AA5213" w:rsidRPr="00F97013">
        <w:t>for those working at the patient-practit</w:t>
      </w:r>
      <w:r w:rsidR="00926BBE" w:rsidRPr="00F97013">
        <w:t>ioner interface, however communication with patients about weight may well be hindered by the ‘stigma’ attached to obesity</w:t>
      </w:r>
      <w:r w:rsidR="00A140C0" w:rsidRPr="00F97013">
        <w:t>.</w:t>
      </w:r>
      <w:r w:rsidR="003E4589" w:rsidRPr="00F97013">
        <w:rPr>
          <w:vertAlign w:val="superscript"/>
        </w:rPr>
        <w:t>3</w:t>
      </w:r>
      <w:r w:rsidR="00D52067">
        <w:rPr>
          <w:vertAlign w:val="superscript"/>
        </w:rPr>
        <w:t>6</w:t>
      </w:r>
      <w:r w:rsidR="00926BBE" w:rsidRPr="00F97013">
        <w:t xml:space="preserve"> </w:t>
      </w:r>
      <w:r w:rsidR="00A140C0" w:rsidRPr="00F97013">
        <w:t>This has</w:t>
      </w:r>
      <w:r w:rsidR="00567112" w:rsidRPr="00F97013">
        <w:t xml:space="preserve"> wider implications for patient outcomes</w:t>
      </w:r>
      <w:r w:rsidR="00CE249F" w:rsidRPr="00F97013">
        <w:t xml:space="preserve"> </w:t>
      </w:r>
      <w:r w:rsidR="00E95BA9" w:rsidRPr="00F97013">
        <w:t>and requires</w:t>
      </w:r>
      <w:r w:rsidR="00C82958" w:rsidRPr="00F97013">
        <w:t xml:space="preserve"> further </w:t>
      </w:r>
      <w:r w:rsidR="008304B1" w:rsidRPr="00F97013">
        <w:t xml:space="preserve">exploration </w:t>
      </w:r>
      <w:r w:rsidR="00641FAD" w:rsidRPr="00F97013">
        <w:t>through</w:t>
      </w:r>
      <w:r w:rsidR="00C82958" w:rsidRPr="00F97013">
        <w:t xml:space="preserve"> the implementation process.</w:t>
      </w:r>
      <w:r w:rsidR="00A530FA" w:rsidRPr="00F97013">
        <w:t xml:space="preserve"> </w:t>
      </w:r>
      <w:r w:rsidR="008304B1" w:rsidRPr="00F97013">
        <w:t xml:space="preserve">Additionally, </w:t>
      </w:r>
      <w:r w:rsidR="00CE249F" w:rsidRPr="00F97013">
        <w:t xml:space="preserve">HPCs need better understanding </w:t>
      </w:r>
      <w:r w:rsidR="00F23CC8" w:rsidRPr="00F97013">
        <w:t xml:space="preserve">of </w:t>
      </w:r>
      <w:r w:rsidR="008304B1" w:rsidRPr="00F97013">
        <w:t xml:space="preserve">referral-based </w:t>
      </w:r>
      <w:r w:rsidR="00F23CC8" w:rsidRPr="00F97013">
        <w:t xml:space="preserve">public health </w:t>
      </w:r>
      <w:r w:rsidR="00EF5E34" w:rsidRPr="00F97013">
        <w:t>programmes</w:t>
      </w:r>
      <w:r w:rsidR="00CE249F" w:rsidRPr="00F97013">
        <w:t xml:space="preserve"> offered</w:t>
      </w:r>
      <w:r w:rsidR="00CF589C" w:rsidRPr="00F97013">
        <w:t>.</w:t>
      </w:r>
      <w:r w:rsidR="006B6E82" w:rsidRPr="00F97013">
        <w:t xml:space="preserve"> Despite efforts of </w:t>
      </w:r>
      <w:r w:rsidR="00EF5E34" w:rsidRPr="00F97013">
        <w:rPr>
          <w:rFonts w:eastAsia="MS PGothic"/>
        </w:rPr>
        <w:t>programme</w:t>
      </w:r>
      <w:r w:rsidR="006B6E82" w:rsidRPr="00F97013">
        <w:rPr>
          <w:rFonts w:eastAsia="MS PGothic"/>
        </w:rPr>
        <w:t xml:space="preserve"> </w:t>
      </w:r>
      <w:r w:rsidR="00CF589C" w:rsidRPr="00F97013">
        <w:rPr>
          <w:rFonts w:eastAsia="MS PGothic"/>
        </w:rPr>
        <w:t xml:space="preserve">and public health </w:t>
      </w:r>
      <w:r w:rsidR="006B6E82" w:rsidRPr="00F97013">
        <w:rPr>
          <w:rFonts w:eastAsia="MS PGothic"/>
        </w:rPr>
        <w:t>manager</w:t>
      </w:r>
      <w:r w:rsidR="00CF589C" w:rsidRPr="00F97013">
        <w:rPr>
          <w:rFonts w:eastAsia="MS PGothic"/>
        </w:rPr>
        <w:t xml:space="preserve">s, </w:t>
      </w:r>
      <w:r w:rsidR="0053431F" w:rsidRPr="00F97013">
        <w:rPr>
          <w:rFonts w:eastAsia="MS PGothic"/>
        </w:rPr>
        <w:t>awareness</w:t>
      </w:r>
      <w:r w:rsidR="00CF589C" w:rsidRPr="00F97013">
        <w:rPr>
          <w:rFonts w:eastAsia="MS PGothic"/>
        </w:rPr>
        <w:t xml:space="preserve"> was</w:t>
      </w:r>
      <w:r w:rsidR="0053431F" w:rsidRPr="00F97013">
        <w:rPr>
          <w:rFonts w:eastAsia="MS PGothic"/>
        </w:rPr>
        <w:t xml:space="preserve"> reported</w:t>
      </w:r>
      <w:r w:rsidR="00CF589C" w:rsidRPr="00F97013">
        <w:rPr>
          <w:rFonts w:eastAsia="MS PGothic"/>
        </w:rPr>
        <w:t>ly</w:t>
      </w:r>
      <w:r w:rsidR="0053431F" w:rsidRPr="00F97013">
        <w:rPr>
          <w:rFonts w:eastAsia="MS PGothic"/>
        </w:rPr>
        <w:t xml:space="preserve"> low</w:t>
      </w:r>
      <w:r w:rsidR="00CF589C" w:rsidRPr="00F97013">
        <w:rPr>
          <w:rFonts w:eastAsia="MS PGothic"/>
        </w:rPr>
        <w:t xml:space="preserve"> for some referring professionals</w:t>
      </w:r>
      <w:r w:rsidR="006B6E82" w:rsidRPr="00F97013">
        <w:rPr>
          <w:rFonts w:eastAsia="MS PGothic"/>
        </w:rPr>
        <w:t xml:space="preserve">. </w:t>
      </w:r>
      <w:r w:rsidR="006B6E82" w:rsidRPr="00F97013">
        <w:t xml:space="preserve">We suggest consideration of resource-efficient ways to signpost </w:t>
      </w:r>
      <w:r w:rsidR="00CF589C" w:rsidRPr="00F97013">
        <w:t xml:space="preserve">both </w:t>
      </w:r>
      <w:r w:rsidR="00CE249F" w:rsidRPr="00F97013">
        <w:t>HPCs</w:t>
      </w:r>
      <w:r w:rsidR="006B6E82" w:rsidRPr="00F97013">
        <w:t xml:space="preserve"> and</w:t>
      </w:r>
      <w:r w:rsidR="00896730" w:rsidRPr="00F97013">
        <w:t xml:space="preserve"> </w:t>
      </w:r>
      <w:r w:rsidR="006B6E82" w:rsidRPr="00F97013">
        <w:t>patients themselves</w:t>
      </w:r>
      <w:r w:rsidR="00896730" w:rsidRPr="00F97013">
        <w:t xml:space="preserve"> as part of </w:t>
      </w:r>
      <w:r w:rsidR="00CF589C" w:rsidRPr="00F97013">
        <w:t xml:space="preserve">the </w:t>
      </w:r>
      <w:r w:rsidR="00896730" w:rsidRPr="00F97013">
        <w:t>implementation process.</w:t>
      </w:r>
      <w:r w:rsidR="006B6E82" w:rsidRPr="00F97013">
        <w:rPr>
          <w:rFonts w:eastAsia="MS PGothic"/>
        </w:rPr>
        <w:t xml:space="preserve">  </w:t>
      </w:r>
    </w:p>
    <w:p w14:paraId="28B49819" w14:textId="77777777" w:rsidR="00F23CC8" w:rsidRPr="00F97013" w:rsidRDefault="00F23CC8" w:rsidP="00EB555B">
      <w:pPr>
        <w:kinsoku w:val="0"/>
        <w:overflowPunct w:val="0"/>
        <w:spacing w:line="480" w:lineRule="auto"/>
        <w:textAlignment w:val="baseline"/>
      </w:pPr>
    </w:p>
    <w:p w14:paraId="7CD7BC1A" w14:textId="53DE2898" w:rsidR="0010274C" w:rsidRPr="00F97013" w:rsidRDefault="00EF5E34" w:rsidP="00EB555B">
      <w:pPr>
        <w:kinsoku w:val="0"/>
        <w:overflowPunct w:val="0"/>
        <w:spacing w:line="480" w:lineRule="auto"/>
        <w:textAlignment w:val="baseline"/>
      </w:pPr>
      <w:r w:rsidRPr="00F97013">
        <w:t>This programme</w:t>
      </w:r>
      <w:r w:rsidR="0053431F" w:rsidRPr="00F97013">
        <w:t xml:space="preserve"> </w:t>
      </w:r>
      <w:proofErr w:type="gramStart"/>
      <w:r w:rsidR="0053431F" w:rsidRPr="00F97013">
        <w:t xml:space="preserve">was </w:t>
      </w:r>
      <w:r w:rsidR="00917108" w:rsidRPr="00F97013">
        <w:t>delivered</w:t>
      </w:r>
      <w:proofErr w:type="gramEnd"/>
      <w:r w:rsidR="00D530AB" w:rsidRPr="00F97013">
        <w:t xml:space="preserve"> across a social gradient in a region with low health indices</w:t>
      </w:r>
      <w:r w:rsidR="00917108" w:rsidRPr="00F97013">
        <w:t xml:space="preserve"> and areas of high </w:t>
      </w:r>
      <w:r w:rsidR="00D530AB" w:rsidRPr="00F97013">
        <w:t>deprivation</w:t>
      </w:r>
      <w:r w:rsidR="00917108" w:rsidRPr="00F97013">
        <w:t xml:space="preserve">. </w:t>
      </w:r>
      <w:r w:rsidR="00D67D38" w:rsidRPr="00F97013">
        <w:t>Some</w:t>
      </w:r>
      <w:r w:rsidR="00F23CC8" w:rsidRPr="00F97013">
        <w:t xml:space="preserve"> issues in relation to inequalities and service </w:t>
      </w:r>
      <w:r w:rsidR="000A4407" w:rsidRPr="00F97013">
        <w:t xml:space="preserve">access </w:t>
      </w:r>
      <w:r w:rsidR="00F23CC8" w:rsidRPr="00F97013">
        <w:t xml:space="preserve">for </w:t>
      </w:r>
      <w:r w:rsidR="000A4407" w:rsidRPr="00F97013">
        <w:t xml:space="preserve">future </w:t>
      </w:r>
      <w:r w:rsidR="00F23CC8" w:rsidRPr="00F97013">
        <w:t>community-based weight management programmes</w:t>
      </w:r>
      <w:r w:rsidR="00D67D38" w:rsidRPr="00F97013">
        <w:t xml:space="preserve"> </w:t>
      </w:r>
      <w:proofErr w:type="gramStart"/>
      <w:r w:rsidR="00D67D38" w:rsidRPr="00F97013">
        <w:t>were highlighted</w:t>
      </w:r>
      <w:proofErr w:type="gramEnd"/>
      <w:r w:rsidR="00F23CC8" w:rsidRPr="00F97013">
        <w:t xml:space="preserve">.  </w:t>
      </w:r>
      <w:r w:rsidR="00062CD1" w:rsidRPr="00F97013">
        <w:t xml:space="preserve">Only </w:t>
      </w:r>
      <w:r w:rsidR="00761E8E" w:rsidRPr="00F97013">
        <w:t>17% of referrals to Momenta were males.</w:t>
      </w:r>
      <w:r w:rsidR="00F23CC8" w:rsidRPr="00F97013">
        <w:t xml:space="preserve">  </w:t>
      </w:r>
      <w:r w:rsidR="00062CD1" w:rsidRPr="00F97013">
        <w:t>G</w:t>
      </w:r>
      <w:r w:rsidR="00F23CC8" w:rsidRPr="00F97013">
        <w:t>ender bias in weight management referral has been reported elsewhere</w:t>
      </w:r>
      <w:proofErr w:type="gramStart"/>
      <w:r w:rsidR="005D6002" w:rsidRPr="00F97013">
        <w:t>,</w:t>
      </w:r>
      <w:r w:rsidR="003E4589" w:rsidRPr="00F97013">
        <w:rPr>
          <w:vertAlign w:val="superscript"/>
        </w:rPr>
        <w:t>3</w:t>
      </w:r>
      <w:r w:rsidR="00D52067">
        <w:rPr>
          <w:vertAlign w:val="superscript"/>
        </w:rPr>
        <w:t>7</w:t>
      </w:r>
      <w:proofErr w:type="gramEnd"/>
      <w:r w:rsidR="003E4589" w:rsidRPr="00F97013">
        <w:rPr>
          <w:vertAlign w:val="superscript"/>
        </w:rPr>
        <w:t>-3</w:t>
      </w:r>
      <w:r w:rsidR="00D52067">
        <w:rPr>
          <w:vertAlign w:val="superscript"/>
        </w:rPr>
        <w:t>8</w:t>
      </w:r>
      <w:r w:rsidR="00DC49D6" w:rsidRPr="00F97013">
        <w:t xml:space="preserve"> </w:t>
      </w:r>
      <w:r w:rsidR="00062CD1" w:rsidRPr="00F97013">
        <w:t>and</w:t>
      </w:r>
      <w:r w:rsidR="00F23CC8" w:rsidRPr="00F97013">
        <w:t xml:space="preserve"> interview</w:t>
      </w:r>
      <w:r w:rsidR="00062CD1" w:rsidRPr="00F97013">
        <w:t>s</w:t>
      </w:r>
      <w:r w:rsidR="00F23CC8" w:rsidRPr="00F97013">
        <w:t xml:space="preserve"> </w:t>
      </w:r>
      <w:r w:rsidR="00062CD1" w:rsidRPr="00F97013">
        <w:t xml:space="preserve">showed </w:t>
      </w:r>
      <w:r w:rsidR="00F23CC8" w:rsidRPr="00F97013">
        <w:t>that practitioners strugg</w:t>
      </w:r>
      <w:r w:rsidR="00761E8E" w:rsidRPr="00F97013">
        <w:t>le</w:t>
      </w:r>
      <w:r w:rsidR="00FD5C38" w:rsidRPr="00F97013">
        <w:t>d</w:t>
      </w:r>
      <w:r w:rsidR="00761E8E" w:rsidRPr="00F97013">
        <w:t xml:space="preserve"> to raise the topic of weight</w:t>
      </w:r>
      <w:r w:rsidR="00F23CC8" w:rsidRPr="00F97013">
        <w:t xml:space="preserve"> with male</w:t>
      </w:r>
      <w:r w:rsidR="00FD5C38" w:rsidRPr="00F97013">
        <w:t xml:space="preserve"> patients</w:t>
      </w:r>
      <w:r w:rsidR="00F23CC8" w:rsidRPr="00F97013">
        <w:t>.  Alternative referral strategies have been employed in other settings in an attempt to overcome this</w:t>
      </w:r>
      <w:r w:rsidR="005D6002" w:rsidRPr="00F97013">
        <w:t>.</w:t>
      </w:r>
      <w:r w:rsidR="00D52067">
        <w:rPr>
          <w:vertAlign w:val="superscript"/>
        </w:rPr>
        <w:t>39</w:t>
      </w:r>
      <w:r w:rsidR="00DC49D6" w:rsidRPr="00F97013">
        <w:t xml:space="preserve"> </w:t>
      </w:r>
      <w:proofErr w:type="gramStart"/>
      <w:r w:rsidR="00D67D38" w:rsidRPr="00F97013">
        <w:t>Marketing</w:t>
      </w:r>
      <w:proofErr w:type="gramEnd"/>
      <w:r w:rsidR="00D67D38" w:rsidRPr="00F97013">
        <w:t xml:space="preserve"> </w:t>
      </w:r>
      <w:r w:rsidR="00762021" w:rsidRPr="00F97013">
        <w:t xml:space="preserve">in </w:t>
      </w:r>
      <w:r w:rsidR="00062CD1" w:rsidRPr="00F97013">
        <w:t xml:space="preserve">other </w:t>
      </w:r>
      <w:r w:rsidR="00762021" w:rsidRPr="00F97013">
        <w:t xml:space="preserve">community spaces, </w:t>
      </w:r>
      <w:r w:rsidR="00494149" w:rsidRPr="00F97013">
        <w:t xml:space="preserve">or </w:t>
      </w:r>
      <w:r w:rsidR="00062CD1" w:rsidRPr="00F97013">
        <w:t>targeted</w:t>
      </w:r>
      <w:r w:rsidR="00494149" w:rsidRPr="00F97013">
        <w:t xml:space="preserve"> postal referrals</w:t>
      </w:r>
      <w:r w:rsidR="00110C1D" w:rsidRPr="00F97013">
        <w:t xml:space="preserve"> </w:t>
      </w:r>
      <w:r w:rsidR="00D67D38" w:rsidRPr="00F97013">
        <w:t xml:space="preserve">could </w:t>
      </w:r>
      <w:r w:rsidR="00A8608E" w:rsidRPr="00F97013">
        <w:t xml:space="preserve">be explored </w:t>
      </w:r>
      <w:r w:rsidR="00110C1D" w:rsidRPr="00F97013">
        <w:t>in future implementation.</w:t>
      </w:r>
      <w:r w:rsidR="004B2DC0" w:rsidRPr="00F97013">
        <w:t xml:space="preserve"> </w:t>
      </w:r>
      <w:r w:rsidR="009A490A" w:rsidRPr="00F97013">
        <w:t>T</w:t>
      </w:r>
      <w:r w:rsidR="0010532F" w:rsidRPr="00F97013">
        <w:t>he initial decision to restrict referral to overweight</w:t>
      </w:r>
      <w:r w:rsidR="00EA3A24" w:rsidRPr="00F97013">
        <w:t xml:space="preserve">-only </w:t>
      </w:r>
      <w:r w:rsidR="0010532F" w:rsidRPr="00F97013">
        <w:t>substantially impacted on referral rate</w:t>
      </w:r>
      <w:r w:rsidR="007A5522" w:rsidRPr="00F97013">
        <w:t>s</w:t>
      </w:r>
      <w:r w:rsidR="008316B6" w:rsidRPr="00F97013">
        <w:t xml:space="preserve">, with </w:t>
      </w:r>
      <w:r w:rsidR="001B61AD" w:rsidRPr="00F97013">
        <w:t xml:space="preserve">HCPs </w:t>
      </w:r>
      <w:r w:rsidR="00EA3A24" w:rsidRPr="00F97013">
        <w:t xml:space="preserve">and </w:t>
      </w:r>
      <w:r w:rsidR="008A6E3B" w:rsidRPr="00F97013">
        <w:t>referrals</w:t>
      </w:r>
      <w:r w:rsidR="00EA3A24" w:rsidRPr="00F97013">
        <w:t xml:space="preserve"> </w:t>
      </w:r>
      <w:r w:rsidR="0007687D" w:rsidRPr="00F97013">
        <w:t>indicat</w:t>
      </w:r>
      <w:r w:rsidR="008316B6" w:rsidRPr="00F97013">
        <w:t>ing</w:t>
      </w:r>
      <w:r w:rsidR="0007687D" w:rsidRPr="00F97013">
        <w:t xml:space="preserve"> they </w:t>
      </w:r>
      <w:r w:rsidR="00EA3A24" w:rsidRPr="00F97013">
        <w:t xml:space="preserve">felt limited </w:t>
      </w:r>
      <w:r w:rsidR="001B61AD" w:rsidRPr="00F97013">
        <w:t>until this</w:t>
      </w:r>
      <w:r w:rsidR="00EA3A24" w:rsidRPr="00F97013">
        <w:t xml:space="preserve"> restriction</w:t>
      </w:r>
      <w:r w:rsidR="004B51A2" w:rsidRPr="00F97013">
        <w:t xml:space="preserve"> </w:t>
      </w:r>
      <w:proofErr w:type="gramStart"/>
      <w:r w:rsidR="004B51A2" w:rsidRPr="00F97013">
        <w:t>was reversed</w:t>
      </w:r>
      <w:proofErr w:type="gramEnd"/>
      <w:r w:rsidR="00EA3A24" w:rsidRPr="00F97013">
        <w:t>.</w:t>
      </w:r>
      <w:r w:rsidR="009A490A" w:rsidRPr="00F97013">
        <w:t xml:space="preserve"> </w:t>
      </w:r>
      <w:r w:rsidR="008316B6" w:rsidRPr="00F97013">
        <w:t xml:space="preserve">Had this continued, </w:t>
      </w:r>
      <w:r w:rsidR="00D530AB" w:rsidRPr="00F97013">
        <w:t>worsening health inequalities</w:t>
      </w:r>
      <w:r w:rsidR="008316B6" w:rsidRPr="00F97013">
        <w:t xml:space="preserve"> may have been a</w:t>
      </w:r>
      <w:r w:rsidR="00570165" w:rsidRPr="00F97013">
        <w:t>n</w:t>
      </w:r>
      <w:r w:rsidR="008316B6" w:rsidRPr="00F97013">
        <w:t xml:space="preserve"> unintended consequence</w:t>
      </w:r>
      <w:r w:rsidR="0091500A" w:rsidRPr="00F97013">
        <w:t xml:space="preserve">, </w:t>
      </w:r>
      <w:r w:rsidR="008316B6" w:rsidRPr="00F97013">
        <w:t xml:space="preserve">something </w:t>
      </w:r>
      <w:r w:rsidR="00FD5C38" w:rsidRPr="00F97013">
        <w:t xml:space="preserve">to </w:t>
      </w:r>
      <w:proofErr w:type="gramStart"/>
      <w:r w:rsidR="00FD5C38" w:rsidRPr="00F97013">
        <w:t>be</w:t>
      </w:r>
      <w:r w:rsidR="008316B6" w:rsidRPr="00F97013">
        <w:t xml:space="preserve"> actively avoided</w:t>
      </w:r>
      <w:proofErr w:type="gramEnd"/>
      <w:r w:rsidR="008316B6" w:rsidRPr="00F97013">
        <w:t xml:space="preserve"> within </w:t>
      </w:r>
      <w:r w:rsidR="0091500A" w:rsidRPr="00F97013">
        <w:t>public health programmes</w:t>
      </w:r>
      <w:r w:rsidR="00D530AB" w:rsidRPr="00F97013">
        <w:t xml:space="preserve"> </w:t>
      </w:r>
      <w:r w:rsidR="005D6002" w:rsidRPr="00F97013">
        <w:rPr>
          <w:vertAlign w:val="superscript"/>
        </w:rPr>
        <w:t>4</w:t>
      </w:r>
      <w:r w:rsidR="00D52067">
        <w:rPr>
          <w:vertAlign w:val="superscript"/>
        </w:rPr>
        <w:t>0</w:t>
      </w:r>
      <w:r w:rsidR="004B72C0" w:rsidRPr="00F97013">
        <w:rPr>
          <w:vertAlign w:val="superscript"/>
        </w:rPr>
        <w:t xml:space="preserve">. </w:t>
      </w:r>
      <w:r w:rsidR="007A5522" w:rsidRPr="00F97013">
        <w:t xml:space="preserve">The </w:t>
      </w:r>
      <w:r w:rsidR="00D530AB" w:rsidRPr="00F97013">
        <w:t>roles of, and interactions between</w:t>
      </w:r>
      <w:r w:rsidR="007A5522" w:rsidRPr="00F97013">
        <w:t>,</w:t>
      </w:r>
      <w:r w:rsidR="00FF2545" w:rsidRPr="00F97013">
        <w:t xml:space="preserve"> those operating</w:t>
      </w:r>
      <w:r w:rsidR="00D530AB" w:rsidRPr="00F97013">
        <w:t xml:space="preserve"> in the ‘system’ (i</w:t>
      </w:r>
      <w:r w:rsidR="004B51A2" w:rsidRPr="00F97013">
        <w:t>.</w:t>
      </w:r>
      <w:r w:rsidR="00D530AB" w:rsidRPr="00F97013">
        <w:t xml:space="preserve">e. </w:t>
      </w:r>
      <w:r w:rsidR="0086704A" w:rsidRPr="00F97013">
        <w:t xml:space="preserve">the </w:t>
      </w:r>
      <w:r w:rsidR="00D530AB" w:rsidRPr="00F97013">
        <w:t xml:space="preserve">context within which the intervention operates) </w:t>
      </w:r>
      <w:r w:rsidR="008219E1" w:rsidRPr="00F97013">
        <w:t>must be considered at the point of implementation to minimise any impact from unintended consequences</w:t>
      </w:r>
      <w:r w:rsidR="00C248AD" w:rsidRPr="00F97013">
        <w:t>.</w:t>
      </w:r>
      <w:r w:rsidR="005B255B" w:rsidRPr="00F97013">
        <w:rPr>
          <w:vertAlign w:val="superscript"/>
        </w:rPr>
        <w:t>5</w:t>
      </w:r>
      <w:r w:rsidR="00075E01" w:rsidRPr="00F97013">
        <w:t xml:space="preserve"> </w:t>
      </w:r>
      <w:r w:rsidR="008219E1" w:rsidRPr="00F97013">
        <w:t>In practical terms, this may be through</w:t>
      </w:r>
      <w:r w:rsidR="00D530AB" w:rsidRPr="00F97013">
        <w:t xml:space="preserve"> continued dialogue with commissioners, referring professionals and referrals themselves</w:t>
      </w:r>
      <w:r w:rsidR="006059B7" w:rsidRPr="00F97013">
        <w:t xml:space="preserve">, something which prototyping evaluation </w:t>
      </w:r>
      <w:r w:rsidR="007A5522" w:rsidRPr="00F97013">
        <w:t>allows</w:t>
      </w:r>
      <w:r w:rsidR="0053431F" w:rsidRPr="00F97013">
        <w:t xml:space="preserve">. </w:t>
      </w:r>
    </w:p>
    <w:p w14:paraId="66412692" w14:textId="1FB6C016" w:rsidR="003A1329" w:rsidRPr="00F97013" w:rsidRDefault="003A1329" w:rsidP="00630221">
      <w:pPr>
        <w:spacing w:line="480" w:lineRule="auto"/>
        <w:rPr>
          <w:shd w:val="clear" w:color="auto" w:fill="FFFFFF"/>
        </w:rPr>
      </w:pPr>
    </w:p>
    <w:p w14:paraId="40F3E010" w14:textId="4A5CD42F" w:rsidR="00F82504" w:rsidRPr="00F97013" w:rsidRDefault="00F82504" w:rsidP="00F82504">
      <w:pPr>
        <w:pStyle w:val="xmsonormal"/>
        <w:shd w:val="clear" w:color="auto" w:fill="FFFFFF"/>
        <w:spacing w:before="0" w:beforeAutospacing="0" w:after="0" w:afterAutospacing="0" w:line="480" w:lineRule="auto"/>
      </w:pPr>
      <w:r w:rsidRPr="00F97013">
        <w:t xml:space="preserve">Quantitative </w:t>
      </w:r>
      <w:r w:rsidR="00531273" w:rsidRPr="00F97013">
        <w:t>data</w:t>
      </w:r>
      <w:r w:rsidRPr="00F97013">
        <w:t xml:space="preserve"> should be interpreted as exploratory, due to the relatively small number of complete </w:t>
      </w:r>
      <w:proofErr w:type="gramStart"/>
      <w:r w:rsidRPr="00F97013">
        <w:t>cases,</w:t>
      </w:r>
      <w:proofErr w:type="gramEnd"/>
      <w:r w:rsidRPr="00F97013">
        <w:t xml:space="preserve"> however lessons can be learned from these data both in terms of preliminary outcomes and engagement/dropout. </w:t>
      </w:r>
      <w:r w:rsidRPr="00F97013">
        <w:rPr>
          <w:rFonts w:eastAsia="MS PGothic"/>
        </w:rPr>
        <w:t xml:space="preserve">Participation in Momenta and Momenta-Fitness resulted in 12-week weight loss for those who completed the programme.  Free fitness membership without the weight-management programme </w:t>
      </w:r>
      <w:proofErr w:type="gramStart"/>
      <w:r w:rsidRPr="00F97013">
        <w:rPr>
          <w:rFonts w:eastAsia="MS PGothic"/>
        </w:rPr>
        <w:t>was poorly engaged</w:t>
      </w:r>
      <w:proofErr w:type="gramEnd"/>
      <w:r w:rsidRPr="00F97013">
        <w:rPr>
          <w:rFonts w:eastAsia="MS PGothic"/>
        </w:rPr>
        <w:t xml:space="preserve"> with and did not lead to weight change. A small sub-sample who attended follow-up demonstrated that after one year, weight reductions equivalent to ~4% </w:t>
      </w:r>
      <w:proofErr w:type="gramStart"/>
      <w:r w:rsidRPr="00F97013">
        <w:rPr>
          <w:rFonts w:eastAsia="MS PGothic"/>
        </w:rPr>
        <w:t>could be maintained</w:t>
      </w:r>
      <w:proofErr w:type="gramEnd"/>
      <w:r w:rsidRPr="00F97013">
        <w:rPr>
          <w:rFonts w:eastAsia="MS PGothic"/>
        </w:rPr>
        <w:t xml:space="preserve"> for Momenta-Fitness. We caution that </w:t>
      </w:r>
      <w:r w:rsidR="00FB0A7D" w:rsidRPr="00F97013">
        <w:rPr>
          <w:rFonts w:eastAsia="MS PGothic"/>
        </w:rPr>
        <w:t xml:space="preserve">while </w:t>
      </w:r>
      <w:r w:rsidRPr="00F97013">
        <w:rPr>
          <w:rFonts w:eastAsia="MS PGothic"/>
        </w:rPr>
        <w:t xml:space="preserve">this might be best interpreted as </w:t>
      </w:r>
      <w:proofErr w:type="gramStart"/>
      <w:r w:rsidRPr="00F97013">
        <w:rPr>
          <w:rFonts w:eastAsia="MS PGothic"/>
        </w:rPr>
        <w:t>hypothesis-generating</w:t>
      </w:r>
      <w:proofErr w:type="gramEnd"/>
      <w:r w:rsidRPr="00F97013">
        <w:rPr>
          <w:rFonts w:eastAsia="MS PGothic"/>
        </w:rPr>
        <w:t xml:space="preserve"> for future evaluations, </w:t>
      </w:r>
      <w:r w:rsidR="00FB0A7D" w:rsidRPr="00F97013">
        <w:rPr>
          <w:rFonts w:eastAsia="MS PGothic"/>
        </w:rPr>
        <w:t>given these effects emerged despite an underpowered sample it is worth briefly considering</w:t>
      </w:r>
      <w:r w:rsidRPr="00F97013">
        <w:rPr>
          <w:rFonts w:eastAsia="MS PGothic"/>
        </w:rPr>
        <w:t xml:space="preserve"> potential mechanisms here.  </w:t>
      </w:r>
      <w:proofErr w:type="gramStart"/>
      <w:r w:rsidRPr="00F97013">
        <w:rPr>
          <w:rFonts w:eastAsia="MS PGothic"/>
        </w:rPr>
        <w:t>Providing free access to fitness facilities alongside the behaviour change programme may allow for continuous and self-driven behaviour change</w:t>
      </w:r>
      <w:r w:rsidR="00D52067">
        <w:rPr>
          <w:rFonts w:eastAsia="MS PGothic"/>
          <w:vertAlign w:val="superscript"/>
        </w:rPr>
        <w:t>41</w:t>
      </w:r>
      <w:r w:rsidRPr="00F97013">
        <w:rPr>
          <w:rFonts w:eastAsia="MS PGothic"/>
        </w:rPr>
        <w:t xml:space="preserve"> and sustaining optimal changes in adiposity over 12 months in those who remained engaged.</w:t>
      </w:r>
      <w:r w:rsidR="00D52067">
        <w:rPr>
          <w:rFonts w:eastAsia="MS PGothic"/>
          <w:vertAlign w:val="superscript"/>
        </w:rPr>
        <w:t>42</w:t>
      </w:r>
      <w:r w:rsidRPr="00F97013">
        <w:rPr>
          <w:rFonts w:eastAsia="MS PGothic"/>
        </w:rPr>
        <w:t xml:space="preserve"> Swipe card monitoring during the initial 12-week period indicated that fitness sessions were accessed an average 10 occasions for this group, whereas no access was apparent for Momenta, despite Momenta sessions being held in leisure centres.</w:t>
      </w:r>
      <w:proofErr w:type="gramEnd"/>
      <w:r w:rsidRPr="00F97013">
        <w:rPr>
          <w:rFonts w:eastAsia="MS PGothic"/>
        </w:rPr>
        <w:t xml:space="preserve"> This could be important for community providers making decisions about delivery location. Both Momenta groups reported improved wellbeing, and reduced anxiety and depression at 12-weeks</w:t>
      </w:r>
      <w:r w:rsidR="00C95840" w:rsidRPr="00B50235">
        <w:rPr>
          <w:rFonts w:eastAsia="MS PGothic"/>
        </w:rPr>
        <w:t>.</w:t>
      </w:r>
      <w:r w:rsidRPr="00B50235">
        <w:rPr>
          <w:rFonts w:eastAsia="MS PGothic"/>
        </w:rPr>
        <w:t xml:space="preserve"> </w:t>
      </w:r>
      <w:r w:rsidR="00C95840" w:rsidRPr="00B50235">
        <w:t xml:space="preserve">The changes observed, though small, </w:t>
      </w:r>
      <w:proofErr w:type="gramStart"/>
      <w:r w:rsidR="00C95840" w:rsidRPr="00B50235">
        <w:t>could be argued</w:t>
      </w:r>
      <w:proofErr w:type="gramEnd"/>
      <w:r w:rsidR="00C95840" w:rsidRPr="00B50235">
        <w:t xml:space="preserve"> to approach being functionally and clinically meaningful, with a minimal important difference of 1.5 points previously identified for the HADS, for example</w:t>
      </w:r>
      <w:r w:rsidR="00D52067" w:rsidRPr="00B50235">
        <w:rPr>
          <w:vertAlign w:val="superscript"/>
        </w:rPr>
        <w:t>43</w:t>
      </w:r>
      <w:r w:rsidR="00C95840" w:rsidRPr="00B50235">
        <w:t xml:space="preserve">. </w:t>
      </w:r>
      <w:r w:rsidR="00C95840" w:rsidRPr="00B50235">
        <w:rPr>
          <w:rFonts w:eastAsia="MS PGothic"/>
        </w:rPr>
        <w:t>T</w:t>
      </w:r>
      <w:r w:rsidRPr="00B50235">
        <w:rPr>
          <w:rFonts w:eastAsia="MS PGothic"/>
        </w:rPr>
        <w:t>he behavioural intervention may drive this effect. T</w:t>
      </w:r>
      <w:r w:rsidRPr="00F97013">
        <w:rPr>
          <w:rFonts w:eastAsia="MS PGothic"/>
        </w:rPr>
        <w:t>his is consistent with previous work reporting co-varying changes in weight loss, depression, and quality of life in weight management services.</w:t>
      </w:r>
      <w:r w:rsidR="0050504D" w:rsidRPr="00F97013">
        <w:rPr>
          <w:rFonts w:eastAsia="MS PGothic"/>
          <w:vertAlign w:val="superscript"/>
        </w:rPr>
        <w:t>44</w:t>
      </w:r>
      <w:r w:rsidRPr="00F97013">
        <w:rPr>
          <w:rFonts w:eastAsia="MS PGothic"/>
        </w:rPr>
        <w:t xml:space="preserve"> </w:t>
      </w:r>
      <w:proofErr w:type="gramStart"/>
      <w:r w:rsidRPr="00F97013">
        <w:rPr>
          <w:rFonts w:eastAsia="MS PGothic"/>
        </w:rPr>
        <w:t>It</w:t>
      </w:r>
      <w:proofErr w:type="gramEnd"/>
      <w:r w:rsidRPr="00F97013">
        <w:rPr>
          <w:rFonts w:eastAsia="MS PGothic"/>
        </w:rPr>
        <w:t xml:space="preserve"> is unclear whether the primary mechanism was weight loss, or the wider social benefits of participation. Both were valued in the qualitative data. Our preliminary evidence of maintained improvements in wellbeing for these groups at 52 weeks is particularly relevant given previously evidenced associations between poor mental health, and obesity and overweight status.</w:t>
      </w:r>
      <w:r w:rsidR="0050504D" w:rsidRPr="00F97013">
        <w:rPr>
          <w:rFonts w:eastAsia="MS PGothic"/>
          <w:vertAlign w:val="superscript"/>
        </w:rPr>
        <w:t>45</w:t>
      </w:r>
      <w:r w:rsidR="00855ED7" w:rsidRPr="00F97013">
        <w:rPr>
          <w:rFonts w:eastAsia="MS PGothic"/>
        </w:rPr>
        <w:t xml:space="preserve"> Long-term </w:t>
      </w:r>
      <w:r w:rsidR="006D4471" w:rsidRPr="00F97013">
        <w:rPr>
          <w:rFonts w:eastAsia="MS PGothic"/>
        </w:rPr>
        <w:t>follow-up</w:t>
      </w:r>
      <w:r w:rsidR="00855ED7" w:rsidRPr="00F97013">
        <w:rPr>
          <w:rFonts w:eastAsia="MS PGothic"/>
        </w:rPr>
        <w:t xml:space="preserve"> rates will need to be considered in future similar programmes</w:t>
      </w:r>
      <w:bookmarkStart w:id="4" w:name="_Hlk15469788"/>
      <w:r w:rsidR="00531273" w:rsidRPr="00F97013">
        <w:rPr>
          <w:rFonts w:eastAsia="MS PGothic"/>
        </w:rPr>
        <w:t xml:space="preserve"> and we</w:t>
      </w:r>
      <w:r w:rsidR="00855ED7" w:rsidRPr="00F97013">
        <w:rPr>
          <w:rFonts w:eastAsia="MS PGothic"/>
        </w:rPr>
        <w:t xml:space="preserve"> suggest </w:t>
      </w:r>
      <w:proofErr w:type="gramStart"/>
      <w:r w:rsidR="00855ED7" w:rsidRPr="00F97013">
        <w:rPr>
          <w:rFonts w:eastAsia="MS PGothic"/>
        </w:rPr>
        <w:t>year-long</w:t>
      </w:r>
      <w:proofErr w:type="gramEnd"/>
      <w:r w:rsidR="00855ED7" w:rsidRPr="00F97013">
        <w:rPr>
          <w:rFonts w:eastAsia="MS PGothic"/>
        </w:rPr>
        <w:t xml:space="preserve"> follow-up </w:t>
      </w:r>
      <w:r w:rsidR="00531273" w:rsidRPr="00F97013">
        <w:rPr>
          <w:rFonts w:eastAsia="MS PGothic"/>
        </w:rPr>
        <w:t>(at least) is included a</w:t>
      </w:r>
      <w:r w:rsidR="00855ED7" w:rsidRPr="00F97013">
        <w:rPr>
          <w:rFonts w:eastAsia="MS PGothic"/>
        </w:rPr>
        <w:t>s a key programme component from the outset.</w:t>
      </w:r>
      <w:r w:rsidR="00531273" w:rsidRPr="00F97013">
        <w:rPr>
          <w:rFonts w:eastAsia="MS PGothic"/>
        </w:rPr>
        <w:t xml:space="preserve"> C</w:t>
      </w:r>
      <w:r w:rsidR="00855ED7" w:rsidRPr="00F97013">
        <w:rPr>
          <w:rFonts w:eastAsia="MS PGothic"/>
        </w:rPr>
        <w:t xml:space="preserve">onsideration </w:t>
      </w:r>
      <w:proofErr w:type="gramStart"/>
      <w:r w:rsidR="006D4471" w:rsidRPr="00F97013">
        <w:rPr>
          <w:rFonts w:eastAsia="MS PGothic"/>
        </w:rPr>
        <w:t>should</w:t>
      </w:r>
      <w:r w:rsidR="00855ED7" w:rsidRPr="00F97013">
        <w:rPr>
          <w:rFonts w:eastAsia="MS PGothic"/>
        </w:rPr>
        <w:t xml:space="preserve"> be given</w:t>
      </w:r>
      <w:proofErr w:type="gramEnd"/>
      <w:r w:rsidR="00855ED7" w:rsidRPr="00F97013">
        <w:rPr>
          <w:rFonts w:eastAsia="MS PGothic"/>
        </w:rPr>
        <w:t xml:space="preserve"> to </w:t>
      </w:r>
      <w:r w:rsidR="006D4471" w:rsidRPr="00F97013">
        <w:rPr>
          <w:rFonts w:eastAsia="MS PGothic"/>
        </w:rPr>
        <w:t>how providers can maintain contact with participants after programme end to increase likelihood of successful follow-up. Potential</w:t>
      </w:r>
      <w:r w:rsidR="00855ED7" w:rsidRPr="00F97013">
        <w:rPr>
          <w:rFonts w:eastAsia="MS PGothic"/>
        </w:rPr>
        <w:t xml:space="preserve"> ‘light touch’ support after 12 weeks </w:t>
      </w:r>
      <w:r w:rsidR="006D4471" w:rsidRPr="00F97013">
        <w:rPr>
          <w:rFonts w:eastAsia="MS PGothic"/>
        </w:rPr>
        <w:t xml:space="preserve">may be helpful </w:t>
      </w:r>
      <w:r w:rsidR="00855ED7" w:rsidRPr="00F97013">
        <w:rPr>
          <w:rFonts w:eastAsia="MS PGothic"/>
        </w:rPr>
        <w:t xml:space="preserve">and other means of obtaining follow-up data </w:t>
      </w:r>
      <w:proofErr w:type="gramStart"/>
      <w:r w:rsidR="00855ED7" w:rsidRPr="00F97013">
        <w:rPr>
          <w:rFonts w:eastAsia="MS PGothic"/>
        </w:rPr>
        <w:t>should be explored</w:t>
      </w:r>
      <w:proofErr w:type="gramEnd"/>
      <w:r w:rsidR="00855ED7" w:rsidRPr="00F97013">
        <w:rPr>
          <w:rFonts w:eastAsia="MS PGothic"/>
        </w:rPr>
        <w:t xml:space="preserve"> where service users disengage. Reasons for disengagement </w:t>
      </w:r>
      <w:proofErr w:type="gramStart"/>
      <w:r w:rsidR="00855ED7" w:rsidRPr="00F97013">
        <w:rPr>
          <w:rFonts w:eastAsia="MS PGothic"/>
        </w:rPr>
        <w:t>might also be usefully explored</w:t>
      </w:r>
      <w:proofErr w:type="gramEnd"/>
      <w:r w:rsidR="00855ED7" w:rsidRPr="00F97013">
        <w:rPr>
          <w:rFonts w:eastAsia="MS PGothic"/>
        </w:rPr>
        <w:t xml:space="preserve"> in future work.</w:t>
      </w:r>
      <w:bookmarkEnd w:id="4"/>
    </w:p>
    <w:p w14:paraId="0261A913" w14:textId="77777777" w:rsidR="00F82504" w:rsidRPr="00F97013" w:rsidRDefault="00F82504" w:rsidP="00630221">
      <w:pPr>
        <w:spacing w:line="480" w:lineRule="auto"/>
        <w:rPr>
          <w:shd w:val="clear" w:color="auto" w:fill="FFFFFF"/>
        </w:rPr>
      </w:pPr>
    </w:p>
    <w:p w14:paraId="5F389091" w14:textId="02D2CEBC" w:rsidR="00630221" w:rsidRPr="00F97013" w:rsidRDefault="00494149" w:rsidP="00630221">
      <w:pPr>
        <w:spacing w:line="480" w:lineRule="auto"/>
      </w:pPr>
      <w:r w:rsidRPr="00F97013">
        <w:rPr>
          <w:shd w:val="clear" w:color="auto" w:fill="FFFFFF"/>
        </w:rPr>
        <w:t xml:space="preserve">Given that no systematic problems emerged with </w:t>
      </w:r>
      <w:r w:rsidR="00333768" w:rsidRPr="00F97013">
        <w:rPr>
          <w:shd w:val="clear" w:color="auto" w:fill="FFFFFF"/>
        </w:rPr>
        <w:t>service-user’s</w:t>
      </w:r>
      <w:r w:rsidRPr="00F97013">
        <w:rPr>
          <w:shd w:val="clear" w:color="auto" w:fill="FFFFFF"/>
        </w:rPr>
        <w:t xml:space="preserve"> experiences of the programme itself, </w:t>
      </w:r>
      <w:r w:rsidR="004B51A2" w:rsidRPr="00F97013">
        <w:rPr>
          <w:shd w:val="clear" w:color="auto" w:fill="FFFFFF"/>
        </w:rPr>
        <w:t>our</w:t>
      </w:r>
      <w:r w:rsidRPr="00F97013">
        <w:rPr>
          <w:shd w:val="clear" w:color="auto" w:fill="FFFFFF"/>
        </w:rPr>
        <w:t xml:space="preserve"> findings lend support to a streamlined approach to involvement of </w:t>
      </w:r>
      <w:r w:rsidR="007C6FCE" w:rsidRPr="00F97013">
        <w:rPr>
          <w:shd w:val="clear" w:color="auto" w:fill="FFFFFF"/>
        </w:rPr>
        <w:t>all stakeholders in programme implementation</w:t>
      </w:r>
      <w:r w:rsidRPr="00F97013">
        <w:rPr>
          <w:shd w:val="clear" w:color="auto" w:fill="FFFFFF"/>
        </w:rPr>
        <w:t xml:space="preserve">. </w:t>
      </w:r>
      <w:r w:rsidR="00540504" w:rsidRPr="00F97013">
        <w:t>W</w:t>
      </w:r>
      <w:r w:rsidR="003A1329" w:rsidRPr="00F97013">
        <w:t xml:space="preserve">e suggest that prototyping demonstrates </w:t>
      </w:r>
      <w:r w:rsidR="0091500A" w:rsidRPr="00F97013">
        <w:t xml:space="preserve">opportunities </w:t>
      </w:r>
      <w:r w:rsidR="004340EF" w:rsidRPr="00F97013">
        <w:t xml:space="preserve">for off-the-shelf </w:t>
      </w:r>
      <w:r w:rsidR="008A6E3B" w:rsidRPr="00F97013">
        <w:t>programmes</w:t>
      </w:r>
      <w:r w:rsidR="004340EF" w:rsidRPr="00F97013">
        <w:t xml:space="preserve"> to </w:t>
      </w:r>
      <w:proofErr w:type="gramStart"/>
      <w:r w:rsidR="004340EF" w:rsidRPr="00F97013">
        <w:t xml:space="preserve">be </w:t>
      </w:r>
      <w:r w:rsidR="0091500A" w:rsidRPr="00F97013">
        <w:t xml:space="preserve">pragmatically </w:t>
      </w:r>
      <w:r w:rsidR="004340EF" w:rsidRPr="00F97013">
        <w:t>moulded</w:t>
      </w:r>
      <w:proofErr w:type="gramEnd"/>
      <w:r w:rsidR="004340EF" w:rsidRPr="00F97013">
        <w:t xml:space="preserve"> to local context, in real-time.</w:t>
      </w:r>
      <w:r w:rsidR="00D268AF" w:rsidRPr="00F97013">
        <w:t xml:space="preserve"> </w:t>
      </w:r>
      <w:r w:rsidR="00630221" w:rsidRPr="00F97013">
        <w:t xml:space="preserve">Many of the </w:t>
      </w:r>
      <w:r w:rsidR="00540504" w:rsidRPr="00F97013">
        <w:t xml:space="preserve">iterative </w:t>
      </w:r>
      <w:r w:rsidR="00630221" w:rsidRPr="00F97013">
        <w:t>changes</w:t>
      </w:r>
      <w:r w:rsidR="003A1329" w:rsidRPr="00F97013">
        <w:t xml:space="preserve"> made</w:t>
      </w:r>
      <w:r w:rsidR="00630221" w:rsidRPr="00F97013">
        <w:t xml:space="preserve"> were staff-driven. This demonstrates that real-time consideration of feedback from on-site delivery teams can be important to the implementation process. Some of the adjustments required commissioning action, as they had resource implications; others needed advice from the evaluation team. Interestingly changes made throughout the process generally focused on both staff and participant experience. </w:t>
      </w:r>
    </w:p>
    <w:p w14:paraId="544179DD" w14:textId="13126D7A" w:rsidR="00630221" w:rsidRPr="00F97013" w:rsidRDefault="00630221" w:rsidP="00630221">
      <w:pPr>
        <w:pStyle w:val="xmsonormal"/>
        <w:shd w:val="clear" w:color="auto" w:fill="FFFFFF"/>
        <w:spacing w:before="0" w:beforeAutospacing="0" w:after="0" w:afterAutospacing="0" w:line="480" w:lineRule="auto"/>
      </w:pPr>
    </w:p>
    <w:p w14:paraId="3FE37EAA" w14:textId="270D3943" w:rsidR="006534F5" w:rsidRPr="00F97013" w:rsidRDefault="006E6188" w:rsidP="004B2DC0">
      <w:pPr>
        <w:spacing w:line="480" w:lineRule="auto"/>
      </w:pPr>
      <w:r w:rsidRPr="00F97013">
        <w:rPr>
          <w:shd w:val="clear" w:color="auto" w:fill="FFFFFF"/>
        </w:rPr>
        <w:t>E</w:t>
      </w:r>
      <w:r w:rsidR="00494149" w:rsidRPr="00F97013">
        <w:rPr>
          <w:shd w:val="clear" w:color="auto" w:fill="FFFFFF"/>
        </w:rPr>
        <w:t xml:space="preserve">mergence of some </w:t>
      </w:r>
      <w:r w:rsidR="007128CF" w:rsidRPr="00F97013">
        <w:rPr>
          <w:shd w:val="clear" w:color="auto" w:fill="FFFFFF"/>
        </w:rPr>
        <w:t xml:space="preserve">negative </w:t>
      </w:r>
      <w:r w:rsidR="00494149" w:rsidRPr="00F97013">
        <w:rPr>
          <w:shd w:val="clear" w:color="auto" w:fill="FFFFFF"/>
        </w:rPr>
        <w:t>experiences of referral suggests</w:t>
      </w:r>
      <w:r w:rsidRPr="00F97013">
        <w:rPr>
          <w:shd w:val="clear" w:color="auto" w:fill="FFFFFF"/>
        </w:rPr>
        <w:t>, however,</w:t>
      </w:r>
      <w:r w:rsidR="00494149" w:rsidRPr="00F97013">
        <w:rPr>
          <w:shd w:val="clear" w:color="auto" w:fill="FFFFFF"/>
        </w:rPr>
        <w:t xml:space="preserve"> that prototyping can be problematic without networks or channels for ensuring key outcomes are widely communicated to relevant </w:t>
      </w:r>
      <w:r w:rsidRPr="00F97013">
        <w:rPr>
          <w:shd w:val="clear" w:color="auto" w:fill="FFFFFF"/>
        </w:rPr>
        <w:t>stakeholders</w:t>
      </w:r>
      <w:r w:rsidR="00494149" w:rsidRPr="00F97013">
        <w:rPr>
          <w:shd w:val="clear" w:color="auto" w:fill="FFFFFF"/>
        </w:rPr>
        <w:t xml:space="preserve">. </w:t>
      </w:r>
      <w:r w:rsidR="004340EF" w:rsidRPr="00F97013">
        <w:rPr>
          <w:shd w:val="clear" w:color="auto" w:fill="FFFFFF"/>
        </w:rPr>
        <w:t xml:space="preserve">Overall, the </w:t>
      </w:r>
      <w:r w:rsidR="007C6FCE" w:rsidRPr="00F97013">
        <w:rPr>
          <w:shd w:val="clear" w:color="auto" w:fill="FFFFFF"/>
        </w:rPr>
        <w:t>evaluation</w:t>
      </w:r>
      <w:r w:rsidR="004340EF" w:rsidRPr="00F97013">
        <w:rPr>
          <w:shd w:val="clear" w:color="auto" w:fill="FFFFFF"/>
        </w:rPr>
        <w:t xml:space="preserve"> demonstrated that a balance </w:t>
      </w:r>
      <w:proofErr w:type="gramStart"/>
      <w:r w:rsidR="004340EF" w:rsidRPr="00F97013">
        <w:rPr>
          <w:shd w:val="clear" w:color="auto" w:fill="FFFFFF"/>
        </w:rPr>
        <w:t>is needed</w:t>
      </w:r>
      <w:proofErr w:type="gramEnd"/>
      <w:r w:rsidR="004340EF" w:rsidRPr="00F97013">
        <w:rPr>
          <w:shd w:val="clear" w:color="auto" w:fill="FFFFFF"/>
        </w:rPr>
        <w:t xml:space="preserve"> to allow quick and efficient adaptation of off-the-shelf </w:t>
      </w:r>
      <w:r w:rsidR="008A6E3B" w:rsidRPr="00F97013">
        <w:rPr>
          <w:shd w:val="clear" w:color="auto" w:fill="FFFFFF"/>
        </w:rPr>
        <w:t>programmes</w:t>
      </w:r>
      <w:r w:rsidR="004340EF" w:rsidRPr="00F97013">
        <w:rPr>
          <w:shd w:val="clear" w:color="auto" w:fill="FFFFFF"/>
        </w:rPr>
        <w:t xml:space="preserve">, but with focused professional user engagement in </w:t>
      </w:r>
      <w:r w:rsidR="0091500A" w:rsidRPr="00F97013">
        <w:rPr>
          <w:shd w:val="clear" w:color="auto" w:fill="FFFFFF"/>
        </w:rPr>
        <w:t xml:space="preserve">the </w:t>
      </w:r>
      <w:r w:rsidR="004340EF" w:rsidRPr="00F97013">
        <w:rPr>
          <w:shd w:val="clear" w:color="auto" w:fill="FFFFFF"/>
        </w:rPr>
        <w:t>early stages of development.</w:t>
      </w:r>
      <w:r w:rsidR="00540504" w:rsidRPr="00F97013">
        <w:rPr>
          <w:shd w:val="clear" w:color="auto" w:fill="FFFFFF"/>
        </w:rPr>
        <w:t xml:space="preserve"> </w:t>
      </w:r>
      <w:r w:rsidR="0091500A" w:rsidRPr="00F97013">
        <w:t>The</w:t>
      </w:r>
      <w:r w:rsidR="0045692D" w:rsidRPr="00F97013">
        <w:t xml:space="preserve"> prototyping approach had particular utility given that project resources were limited</w:t>
      </w:r>
      <w:r w:rsidR="00562DF3" w:rsidRPr="00F97013">
        <w:t xml:space="preserve"> and </w:t>
      </w:r>
      <w:r w:rsidR="00C23C17" w:rsidRPr="00F97013">
        <w:t xml:space="preserve">meant that issues </w:t>
      </w:r>
      <w:proofErr w:type="gramStart"/>
      <w:r w:rsidR="00C23C17" w:rsidRPr="00F97013">
        <w:t>were identified and acte</w:t>
      </w:r>
      <w:r w:rsidR="00DD0C96" w:rsidRPr="00F97013">
        <w:t>d upon rapidly</w:t>
      </w:r>
      <w:proofErr w:type="gramEnd"/>
      <w:r w:rsidR="00541158" w:rsidRPr="00F97013">
        <w:t xml:space="preserve">. </w:t>
      </w:r>
      <w:r w:rsidR="00DD0C96" w:rsidRPr="00F97013">
        <w:t>While the programme</w:t>
      </w:r>
      <w:r w:rsidR="00C23C17" w:rsidRPr="00F97013">
        <w:t xml:space="preserve"> may have progressed similarly without this, prototyping provided a greater structure for, and confidence in, on-going refinements</w:t>
      </w:r>
      <w:r w:rsidR="0091500A" w:rsidRPr="00F97013">
        <w:t xml:space="preserve">. This </w:t>
      </w:r>
      <w:proofErr w:type="gramStart"/>
      <w:r w:rsidR="0091500A" w:rsidRPr="00F97013">
        <w:t>was achieved</w:t>
      </w:r>
      <w:proofErr w:type="gramEnd"/>
      <w:r w:rsidR="0091500A" w:rsidRPr="00F97013">
        <w:t xml:space="preserve"> via</w:t>
      </w:r>
      <w:r w:rsidR="00CC4CE7" w:rsidRPr="00F97013">
        <w:t xml:space="preserve"> the support provided by academi</w:t>
      </w:r>
      <w:r w:rsidR="008A6E3B" w:rsidRPr="00F97013">
        <w:t>cs, public health practitioners</w:t>
      </w:r>
      <w:r w:rsidR="00CC4CE7" w:rsidRPr="00F97013">
        <w:t xml:space="preserve"> and providers.</w:t>
      </w:r>
      <w:r w:rsidR="00C23C17" w:rsidRPr="00F97013">
        <w:t xml:space="preserve"> </w:t>
      </w:r>
      <w:r w:rsidR="0045692D" w:rsidRPr="00F97013">
        <w:t xml:space="preserve">Fundamentally, adopting a prototyping approach enabled the delivery of a new service to an in-need population, alongside the generation of initial evidence of local effectiveness.  </w:t>
      </w:r>
      <w:r w:rsidR="006534F5" w:rsidRPr="00F97013">
        <w:rPr>
          <w:rFonts w:eastAsia="MS PGothic"/>
        </w:rPr>
        <w:t>A minimum of 1 kg weight-loss at 3 months, and 0.7 kg at 12-months have been suggested as thresholds to influence decisions over commissioning of weight-l</w:t>
      </w:r>
      <w:r w:rsidR="00A84CA5" w:rsidRPr="00F97013">
        <w:rPr>
          <w:rFonts w:eastAsia="MS PGothic"/>
        </w:rPr>
        <w:t>oss services</w:t>
      </w:r>
      <w:r w:rsidR="005D6002" w:rsidRPr="00F97013">
        <w:rPr>
          <w:rFonts w:eastAsia="MS PGothic"/>
        </w:rPr>
        <w:t>.</w:t>
      </w:r>
      <w:r w:rsidR="0050504D" w:rsidRPr="00F97013">
        <w:rPr>
          <w:rFonts w:eastAsia="MS PGothic"/>
          <w:vertAlign w:val="superscript"/>
        </w:rPr>
        <w:t>46</w:t>
      </w:r>
      <w:r w:rsidR="00A84CA5" w:rsidRPr="00F97013">
        <w:rPr>
          <w:rFonts w:eastAsia="MS PGothic"/>
        </w:rPr>
        <w:t xml:space="preserve"> </w:t>
      </w:r>
      <w:r w:rsidR="009F245E" w:rsidRPr="00F97013">
        <w:rPr>
          <w:rFonts w:eastAsia="MS PGothic"/>
        </w:rPr>
        <w:t xml:space="preserve">Our preliminary data </w:t>
      </w:r>
      <w:r w:rsidR="00477B58" w:rsidRPr="00F97013">
        <w:rPr>
          <w:rFonts w:eastAsia="MS PGothic"/>
        </w:rPr>
        <w:t>suggests that</w:t>
      </w:r>
      <w:r w:rsidR="009F245E" w:rsidRPr="00F97013">
        <w:rPr>
          <w:rFonts w:eastAsia="MS PGothic"/>
        </w:rPr>
        <w:t xml:space="preserve"> </w:t>
      </w:r>
      <w:r w:rsidR="006534F5" w:rsidRPr="00F97013">
        <w:rPr>
          <w:rFonts w:eastAsia="MS PGothic"/>
        </w:rPr>
        <w:t xml:space="preserve">Momenta </w:t>
      </w:r>
      <w:r w:rsidR="00477B58" w:rsidRPr="00F97013">
        <w:rPr>
          <w:rFonts w:eastAsia="MS PGothic"/>
        </w:rPr>
        <w:t xml:space="preserve">may have potential to </w:t>
      </w:r>
      <w:r w:rsidR="0091500A" w:rsidRPr="00F97013">
        <w:rPr>
          <w:rFonts w:eastAsia="MS PGothic"/>
        </w:rPr>
        <w:t>m</w:t>
      </w:r>
      <w:r w:rsidR="00477B58" w:rsidRPr="00F97013">
        <w:rPr>
          <w:rFonts w:eastAsia="MS PGothic"/>
        </w:rPr>
        <w:t>e</w:t>
      </w:r>
      <w:r w:rsidR="0091500A" w:rsidRPr="00F97013">
        <w:rPr>
          <w:rFonts w:eastAsia="MS PGothic"/>
        </w:rPr>
        <w:t xml:space="preserve">et </w:t>
      </w:r>
      <w:r w:rsidR="00477B58" w:rsidRPr="00F97013">
        <w:rPr>
          <w:rFonts w:eastAsia="MS PGothic"/>
        </w:rPr>
        <w:t xml:space="preserve">or even </w:t>
      </w:r>
      <w:r w:rsidR="0091500A" w:rsidRPr="00F97013">
        <w:rPr>
          <w:rFonts w:eastAsia="MS PGothic"/>
        </w:rPr>
        <w:t xml:space="preserve">exceed </w:t>
      </w:r>
      <w:r w:rsidR="00840945" w:rsidRPr="00F97013">
        <w:rPr>
          <w:rFonts w:eastAsia="MS PGothic"/>
        </w:rPr>
        <w:t xml:space="preserve">these </w:t>
      </w:r>
      <w:r w:rsidR="00477B58" w:rsidRPr="00F97013">
        <w:rPr>
          <w:rFonts w:eastAsia="MS PGothic"/>
        </w:rPr>
        <w:t xml:space="preserve">thresholds, </w:t>
      </w:r>
      <w:r w:rsidR="0003003A" w:rsidRPr="00F97013">
        <w:rPr>
          <w:rFonts w:eastAsia="MS PGothic"/>
        </w:rPr>
        <w:t>show</w:t>
      </w:r>
      <w:r w:rsidR="00477B58" w:rsidRPr="00F97013">
        <w:rPr>
          <w:rFonts w:eastAsia="MS PGothic"/>
        </w:rPr>
        <w:t>ing</w:t>
      </w:r>
      <w:r w:rsidR="0003003A" w:rsidRPr="00F97013">
        <w:rPr>
          <w:rFonts w:eastAsia="MS PGothic"/>
        </w:rPr>
        <w:t xml:space="preserve"> particular promise when implemented in conjunction with free fitness provision.</w:t>
      </w:r>
    </w:p>
    <w:p w14:paraId="2EC1CA99" w14:textId="2E00D504" w:rsidR="004340EF" w:rsidRPr="00F97013" w:rsidRDefault="004340EF" w:rsidP="00EB555B">
      <w:pPr>
        <w:spacing w:line="480" w:lineRule="auto"/>
      </w:pPr>
    </w:p>
    <w:p w14:paraId="7D087624" w14:textId="0EB95EC9" w:rsidR="00F23CC8" w:rsidRPr="00F97013" w:rsidRDefault="00840945" w:rsidP="004B03BB">
      <w:pPr>
        <w:spacing w:line="480" w:lineRule="auto"/>
      </w:pPr>
      <w:proofErr w:type="gramStart"/>
      <w:r w:rsidRPr="00F97013">
        <w:t>Demonstrati</w:t>
      </w:r>
      <w:r w:rsidR="00395A7A" w:rsidRPr="00F97013">
        <w:t xml:space="preserve">ng </w:t>
      </w:r>
      <w:r w:rsidR="009F245E" w:rsidRPr="00F97013">
        <w:t xml:space="preserve">preliminary </w:t>
      </w:r>
      <w:r w:rsidRPr="00F97013">
        <w:t>e</w:t>
      </w:r>
      <w:r w:rsidR="00A530FA" w:rsidRPr="00F97013">
        <w:t>ffectiveness</w:t>
      </w:r>
      <w:r w:rsidR="00EB7B97" w:rsidRPr="00F97013">
        <w:t xml:space="preserve"> </w:t>
      </w:r>
      <w:r w:rsidR="00395A7A" w:rsidRPr="00F97013">
        <w:t>is</w:t>
      </w:r>
      <w:r w:rsidR="00105512" w:rsidRPr="00F97013">
        <w:t xml:space="preserve"> of limited use, </w:t>
      </w:r>
      <w:r w:rsidR="00F87FA5" w:rsidRPr="00F97013">
        <w:t xml:space="preserve">however, </w:t>
      </w:r>
      <w:r w:rsidR="00A530FA" w:rsidRPr="00F97013">
        <w:t xml:space="preserve">unless a successful programme in one </w:t>
      </w:r>
      <w:r w:rsidR="0053162F" w:rsidRPr="00F97013">
        <w:t xml:space="preserve">area </w:t>
      </w:r>
      <w:r w:rsidR="00A530FA" w:rsidRPr="00F97013">
        <w:t xml:space="preserve">may be adapted and implemented to suit a different context, for example through sharing local-level knowledge, interactions and behaviours of </w:t>
      </w:r>
      <w:r w:rsidR="00E02C8E" w:rsidRPr="00F97013">
        <w:t xml:space="preserve">individuals </w:t>
      </w:r>
      <w:r w:rsidR="00A530FA" w:rsidRPr="00F97013">
        <w:t>within</w:t>
      </w:r>
      <w:r w:rsidRPr="00F97013">
        <w:t xml:space="preserve"> different parts of that system</w:t>
      </w:r>
      <w:r w:rsidR="005D6002" w:rsidRPr="00F97013">
        <w:t>.</w:t>
      </w:r>
      <w:r w:rsidR="005D6002" w:rsidRPr="00F97013">
        <w:rPr>
          <w:vertAlign w:val="superscript"/>
        </w:rPr>
        <w:t>4</w:t>
      </w:r>
      <w:r w:rsidR="0050504D" w:rsidRPr="00F97013">
        <w:rPr>
          <w:vertAlign w:val="superscript"/>
        </w:rPr>
        <w:t>7</w:t>
      </w:r>
      <w:r w:rsidR="00FE5D1D" w:rsidRPr="00F97013">
        <w:t xml:space="preserve"> </w:t>
      </w:r>
      <w:r w:rsidR="0053162F" w:rsidRPr="00F97013">
        <w:t>The</w:t>
      </w:r>
      <w:r w:rsidR="00A530FA" w:rsidRPr="00F97013">
        <w:t xml:space="preserve"> process for scaling-up of effective health interventions to broader policy and practice takes years</w:t>
      </w:r>
      <w:r w:rsidR="005D6002" w:rsidRPr="00F97013">
        <w:rPr>
          <w:vertAlign w:val="superscript"/>
        </w:rPr>
        <w:t>4</w:t>
      </w:r>
      <w:r w:rsidR="0050504D" w:rsidRPr="00F97013">
        <w:rPr>
          <w:vertAlign w:val="superscript"/>
        </w:rPr>
        <w:t>8</w:t>
      </w:r>
      <w:r w:rsidR="00A530FA" w:rsidRPr="00F97013">
        <w:t xml:space="preserve"> </w:t>
      </w:r>
      <w:r w:rsidR="00551927" w:rsidRPr="00F97013">
        <w:t xml:space="preserve">and certainly within the </w:t>
      </w:r>
      <w:r w:rsidR="00AB5F41" w:rsidRPr="00F97013">
        <w:t>obesity</w:t>
      </w:r>
      <w:r w:rsidR="00A530FA" w:rsidRPr="00F97013">
        <w:t xml:space="preserve"> literature, </w:t>
      </w:r>
      <w:r w:rsidR="00EE16A9" w:rsidRPr="00F97013">
        <w:t>has been</w:t>
      </w:r>
      <w:r w:rsidR="005453B3" w:rsidRPr="00F97013">
        <w:t xml:space="preserve"> </w:t>
      </w:r>
      <w:r w:rsidR="00640B73" w:rsidRPr="00F97013">
        <w:t>dominated by</w:t>
      </w:r>
      <w:r w:rsidR="005B01C6" w:rsidRPr="00F97013">
        <w:t xml:space="preserve"> initiatives </w:t>
      </w:r>
      <w:r w:rsidR="00640B73" w:rsidRPr="00F97013">
        <w:t xml:space="preserve">that consider effectiveness but </w:t>
      </w:r>
      <w:r w:rsidR="00F33B4B" w:rsidRPr="00F97013">
        <w:t>not implementation across specific settings</w:t>
      </w:r>
      <w:r w:rsidR="005D6002" w:rsidRPr="00F97013">
        <w:t>.</w:t>
      </w:r>
      <w:r w:rsidR="0050504D" w:rsidRPr="00F97013">
        <w:rPr>
          <w:vertAlign w:val="superscript"/>
        </w:rPr>
        <w:t>49-50</w:t>
      </w:r>
      <w:r w:rsidR="00241F70" w:rsidRPr="00F97013">
        <w:t xml:space="preserve"> </w:t>
      </w:r>
      <w:r w:rsidR="00FA4470" w:rsidRPr="00F97013">
        <w:rPr>
          <w:lang w:val="en-US"/>
        </w:rPr>
        <w:t>We recommend prototyping</w:t>
      </w:r>
      <w:r w:rsidR="00E02C8E" w:rsidRPr="00F97013">
        <w:rPr>
          <w:lang w:val="en-US"/>
        </w:rPr>
        <w:t xml:space="preserve"> might be built into larger public health evaluations</w:t>
      </w:r>
      <w:r w:rsidR="00FA4470" w:rsidRPr="00F97013">
        <w:rPr>
          <w:lang w:val="en-US"/>
        </w:rPr>
        <w:t xml:space="preserve"> providing that the original programme has a s</w:t>
      </w:r>
      <w:r w:rsidR="00E02C8E" w:rsidRPr="00F97013">
        <w:rPr>
          <w:lang w:val="en-US"/>
        </w:rPr>
        <w:t>ound</w:t>
      </w:r>
      <w:r w:rsidR="00FA4470" w:rsidRPr="00F97013">
        <w:rPr>
          <w:lang w:val="en-US"/>
        </w:rPr>
        <w:t xml:space="preserve"> theoretical basis, </w:t>
      </w:r>
      <w:r w:rsidR="00E02C8E" w:rsidRPr="00F97013">
        <w:rPr>
          <w:lang w:val="en-US"/>
        </w:rPr>
        <w:t xml:space="preserve">and </w:t>
      </w:r>
      <w:r w:rsidR="00FA4470" w:rsidRPr="00F97013">
        <w:rPr>
          <w:lang w:val="en-US"/>
        </w:rPr>
        <w:t>iterative refine</w:t>
      </w:r>
      <w:r w:rsidR="00E02C8E" w:rsidRPr="00F97013">
        <w:rPr>
          <w:lang w:val="en-US"/>
        </w:rPr>
        <w:t>ment is engaged with by all stakeholders from the outset.</w:t>
      </w:r>
      <w:proofErr w:type="gramEnd"/>
    </w:p>
    <w:p w14:paraId="7AFCCA56" w14:textId="0A806856" w:rsidR="00790F93" w:rsidRDefault="00790F93" w:rsidP="00EB555B">
      <w:pPr>
        <w:spacing w:line="480" w:lineRule="auto"/>
      </w:pPr>
    </w:p>
    <w:p w14:paraId="7B2F64C9" w14:textId="77777777" w:rsidR="007D405C" w:rsidRPr="00F97013" w:rsidRDefault="007D405C" w:rsidP="00EB555B">
      <w:pPr>
        <w:spacing w:line="480" w:lineRule="auto"/>
      </w:pPr>
    </w:p>
    <w:p w14:paraId="25021F99" w14:textId="7422300D" w:rsidR="000A7B25" w:rsidRPr="00F97013" w:rsidRDefault="009F486A" w:rsidP="009C4910">
      <w:pPr>
        <w:kinsoku w:val="0"/>
        <w:overflowPunct w:val="0"/>
        <w:spacing w:line="480" w:lineRule="auto"/>
        <w:textAlignment w:val="baseline"/>
        <w:rPr>
          <w:rFonts w:eastAsia="Times New Roman"/>
          <w:b/>
          <w:shd w:val="clear" w:color="auto" w:fill="FFFFFF"/>
        </w:rPr>
      </w:pPr>
      <w:r w:rsidRPr="00F97013">
        <w:rPr>
          <w:rFonts w:eastAsia="Times New Roman"/>
          <w:b/>
          <w:shd w:val="clear" w:color="auto" w:fill="FFFFFF"/>
        </w:rPr>
        <w:t>C</w:t>
      </w:r>
      <w:r w:rsidR="00A5629B" w:rsidRPr="00F97013">
        <w:rPr>
          <w:rFonts w:eastAsia="Times New Roman"/>
          <w:b/>
          <w:shd w:val="clear" w:color="auto" w:fill="FFFFFF"/>
        </w:rPr>
        <w:t>ONCLUSION</w:t>
      </w:r>
    </w:p>
    <w:p w14:paraId="419C3AC8" w14:textId="07C4F96A" w:rsidR="00F23CC8" w:rsidRPr="00F97013" w:rsidRDefault="00E57CBE" w:rsidP="004C4A50">
      <w:pPr>
        <w:kinsoku w:val="0"/>
        <w:overflowPunct w:val="0"/>
        <w:spacing w:line="480" w:lineRule="auto"/>
        <w:textAlignment w:val="baseline"/>
      </w:pPr>
      <w:proofErr w:type="gramStart"/>
      <w:r w:rsidRPr="00F97013">
        <w:rPr>
          <w:rFonts w:eastAsia="Times New Roman"/>
          <w:shd w:val="clear" w:color="auto" w:fill="FFFFFF"/>
        </w:rPr>
        <w:t xml:space="preserve">The </w:t>
      </w:r>
      <w:r w:rsidR="00F82504" w:rsidRPr="00F97013">
        <w:rPr>
          <w:rFonts w:eastAsia="Times New Roman"/>
          <w:shd w:val="clear" w:color="auto" w:fill="FFFFFF"/>
        </w:rPr>
        <w:t xml:space="preserve">Momenta </w:t>
      </w:r>
      <w:r w:rsidRPr="00F97013">
        <w:rPr>
          <w:rFonts w:eastAsia="Times New Roman"/>
          <w:shd w:val="clear" w:color="auto" w:fill="FFFFFF"/>
        </w:rPr>
        <w:t>programme was experienced positively by those who attended</w:t>
      </w:r>
      <w:proofErr w:type="gramEnd"/>
      <w:r w:rsidR="00FA0B35" w:rsidRPr="00F97013">
        <w:rPr>
          <w:rFonts w:eastAsia="Times New Roman"/>
          <w:shd w:val="clear" w:color="auto" w:fill="FFFFFF"/>
        </w:rPr>
        <w:t>.</w:t>
      </w:r>
      <w:r w:rsidRPr="00F97013">
        <w:rPr>
          <w:rFonts w:eastAsia="Times New Roman"/>
          <w:shd w:val="clear" w:color="auto" w:fill="FFFFFF"/>
        </w:rPr>
        <w:t xml:space="preserve"> </w:t>
      </w:r>
      <w:r w:rsidR="00FA0B35" w:rsidRPr="00F97013">
        <w:rPr>
          <w:rFonts w:eastAsia="Times New Roman"/>
          <w:shd w:val="clear" w:color="auto" w:fill="FFFFFF"/>
        </w:rPr>
        <w:t xml:space="preserve">Issues with the referral process need to be explored further, however other refinements were feasible during delivery. </w:t>
      </w:r>
      <w:r w:rsidR="006D58DD" w:rsidRPr="00F97013">
        <w:rPr>
          <w:rFonts w:eastAsia="Times New Roman"/>
          <w:shd w:val="clear" w:color="auto" w:fill="FFFFFF"/>
        </w:rPr>
        <w:t xml:space="preserve">Promising </w:t>
      </w:r>
      <w:r w:rsidR="00F82504" w:rsidRPr="00F97013">
        <w:rPr>
          <w:rFonts w:eastAsia="Times New Roman"/>
          <w:shd w:val="clear" w:color="auto" w:fill="FFFFFF"/>
        </w:rPr>
        <w:t xml:space="preserve">preliminary outcome data for </w:t>
      </w:r>
      <w:r w:rsidR="00FA7CE1" w:rsidRPr="00B50235">
        <w:rPr>
          <w:rFonts w:eastAsia="Times New Roman"/>
          <w:shd w:val="clear" w:color="auto" w:fill="FFFFFF"/>
        </w:rPr>
        <w:t xml:space="preserve">completers of </w:t>
      </w:r>
      <w:r w:rsidR="00F82504" w:rsidRPr="00B50235">
        <w:rPr>
          <w:rFonts w:eastAsia="Times New Roman"/>
          <w:shd w:val="clear" w:color="auto" w:fill="FFFFFF"/>
        </w:rPr>
        <w:t>‘</w:t>
      </w:r>
      <w:r w:rsidR="00F82504" w:rsidRPr="00F97013">
        <w:rPr>
          <w:rFonts w:eastAsia="Times New Roman"/>
          <w:shd w:val="clear" w:color="auto" w:fill="FFFFFF"/>
        </w:rPr>
        <w:t>Momenta’, particularly in conjunction with a free fitness offer</w:t>
      </w:r>
      <w:r w:rsidR="00F82504" w:rsidRPr="00F97013">
        <w:rPr>
          <w:rFonts w:eastAsia="MS PGothic"/>
        </w:rPr>
        <w:t xml:space="preserve">, implies potential </w:t>
      </w:r>
      <w:r w:rsidR="0080084D" w:rsidRPr="00F97013">
        <w:rPr>
          <w:rFonts w:eastAsia="MS PGothic"/>
        </w:rPr>
        <w:t xml:space="preserve">for </w:t>
      </w:r>
      <w:r w:rsidR="00F82504" w:rsidRPr="00F97013">
        <w:rPr>
          <w:rFonts w:eastAsia="MS PGothic"/>
        </w:rPr>
        <w:t xml:space="preserve">the scheme </w:t>
      </w:r>
      <w:r w:rsidR="0080084D" w:rsidRPr="00F97013">
        <w:rPr>
          <w:rFonts w:eastAsia="MS PGothic"/>
        </w:rPr>
        <w:t>with</w:t>
      </w:r>
      <w:r w:rsidR="00F82504" w:rsidRPr="00F97013">
        <w:rPr>
          <w:rFonts w:eastAsia="MS PGothic"/>
        </w:rPr>
        <w:t xml:space="preserve">in future commissioning. </w:t>
      </w:r>
      <w:r w:rsidR="00F23CC8" w:rsidRPr="00F97013">
        <w:rPr>
          <w:rFonts w:eastAsia="MS PGothic"/>
        </w:rPr>
        <w:t>Thi</w:t>
      </w:r>
      <w:r w:rsidR="00EA399A" w:rsidRPr="00F97013">
        <w:rPr>
          <w:rFonts w:eastAsia="MS PGothic"/>
        </w:rPr>
        <w:t xml:space="preserve">s </w:t>
      </w:r>
      <w:r w:rsidR="009C4910" w:rsidRPr="00F97013">
        <w:rPr>
          <w:rFonts w:eastAsia="MS PGothic"/>
        </w:rPr>
        <w:t>evaluation</w:t>
      </w:r>
      <w:r w:rsidR="00EA399A" w:rsidRPr="00F97013">
        <w:rPr>
          <w:rFonts w:eastAsia="MS PGothic"/>
        </w:rPr>
        <w:t xml:space="preserve"> extends the</w:t>
      </w:r>
      <w:r w:rsidR="00F23CC8" w:rsidRPr="00F97013">
        <w:rPr>
          <w:rFonts w:eastAsia="MS PGothic"/>
        </w:rPr>
        <w:t xml:space="preserve"> literature by</w:t>
      </w:r>
      <w:r w:rsidR="0045692D" w:rsidRPr="00F97013">
        <w:rPr>
          <w:rFonts w:eastAsia="MS PGothic"/>
        </w:rPr>
        <w:t xml:space="preserve"> exploring prototyping for a complex problem</w:t>
      </w:r>
      <w:r w:rsidR="009C4910" w:rsidRPr="00F97013">
        <w:rPr>
          <w:rFonts w:eastAsia="MS PGothic"/>
        </w:rPr>
        <w:t xml:space="preserve">, </w:t>
      </w:r>
      <w:r w:rsidR="00A32ED8" w:rsidRPr="00F97013">
        <w:rPr>
          <w:rFonts w:eastAsia="MS PGothic"/>
        </w:rPr>
        <w:t>community weight-management</w:t>
      </w:r>
      <w:r w:rsidR="009C4910" w:rsidRPr="00F97013">
        <w:rPr>
          <w:rFonts w:eastAsia="MS PGothic"/>
        </w:rPr>
        <w:t>,</w:t>
      </w:r>
      <w:r w:rsidR="0045692D" w:rsidRPr="00F97013">
        <w:rPr>
          <w:rFonts w:eastAsia="MS PGothic"/>
        </w:rPr>
        <w:t xml:space="preserve"> in a challenging setting</w:t>
      </w:r>
      <w:r w:rsidR="009C4910" w:rsidRPr="00F97013">
        <w:rPr>
          <w:rFonts w:eastAsia="MS PGothic"/>
        </w:rPr>
        <w:t xml:space="preserve">, </w:t>
      </w:r>
      <w:r w:rsidR="00F23CC8" w:rsidRPr="00F97013">
        <w:rPr>
          <w:rFonts w:eastAsia="Times New Roman"/>
          <w:shd w:val="clear" w:color="auto" w:fill="FFFFFF"/>
        </w:rPr>
        <w:t>demonstrat</w:t>
      </w:r>
      <w:r w:rsidR="009C4910" w:rsidRPr="00F97013">
        <w:rPr>
          <w:rFonts w:eastAsia="Times New Roman"/>
          <w:shd w:val="clear" w:color="auto" w:fill="FFFFFF"/>
        </w:rPr>
        <w:t>ing</w:t>
      </w:r>
      <w:r w:rsidR="00F23CC8" w:rsidRPr="00F97013">
        <w:rPr>
          <w:rFonts w:eastAsia="Times New Roman"/>
          <w:shd w:val="clear" w:color="auto" w:fill="FFFFFF"/>
        </w:rPr>
        <w:t xml:space="preserve"> streamline</w:t>
      </w:r>
      <w:r w:rsidR="009C4910" w:rsidRPr="00F97013">
        <w:rPr>
          <w:rFonts w:eastAsia="Times New Roman"/>
          <w:shd w:val="clear" w:color="auto" w:fill="FFFFFF"/>
        </w:rPr>
        <w:t>d</w:t>
      </w:r>
      <w:r w:rsidR="00F23CC8" w:rsidRPr="00F97013">
        <w:rPr>
          <w:rFonts w:eastAsia="Times New Roman"/>
          <w:shd w:val="clear" w:color="auto" w:fill="FFFFFF"/>
        </w:rPr>
        <w:t xml:space="preserve"> implementation of an ‘off-the-shelf’ weight management program</w:t>
      </w:r>
      <w:r w:rsidR="006F692E" w:rsidRPr="00F97013">
        <w:rPr>
          <w:rFonts w:eastAsia="Times New Roman"/>
          <w:shd w:val="clear" w:color="auto" w:fill="FFFFFF"/>
        </w:rPr>
        <w:t>me</w:t>
      </w:r>
      <w:r w:rsidR="009C4910" w:rsidRPr="00F97013">
        <w:rPr>
          <w:rFonts w:eastAsia="Times New Roman"/>
          <w:shd w:val="clear" w:color="auto" w:fill="FFFFFF"/>
        </w:rPr>
        <w:t xml:space="preserve">.  </w:t>
      </w:r>
      <w:r w:rsidR="00D80E72" w:rsidRPr="00F97013">
        <w:rPr>
          <w:rFonts w:eastAsia="Times New Roman"/>
          <w:shd w:val="clear" w:color="auto" w:fill="FFFFFF"/>
        </w:rPr>
        <w:t>This</w:t>
      </w:r>
      <w:r w:rsidR="00D80E72" w:rsidRPr="00F97013">
        <w:t xml:space="preserve"> </w:t>
      </w:r>
      <w:r w:rsidR="00D80E72" w:rsidRPr="00F97013">
        <w:rPr>
          <w:rFonts w:eastAsia="Times New Roman"/>
          <w:shd w:val="clear" w:color="auto" w:fill="FFFFFF"/>
        </w:rPr>
        <w:t>resource-effective approach is</w:t>
      </w:r>
      <w:r w:rsidR="00D80E72" w:rsidRPr="00F97013">
        <w:t xml:space="preserve"> highly relevant in the context of health inequalities and public health sector funding constraints. </w:t>
      </w:r>
    </w:p>
    <w:p w14:paraId="716C2A20" w14:textId="68266C62" w:rsidR="004C603A" w:rsidRDefault="004C603A" w:rsidP="004C4A50">
      <w:pPr>
        <w:kinsoku w:val="0"/>
        <w:overflowPunct w:val="0"/>
        <w:spacing w:line="480" w:lineRule="auto"/>
        <w:textAlignment w:val="baseline"/>
      </w:pPr>
    </w:p>
    <w:p w14:paraId="2518D926" w14:textId="09D7B1D1" w:rsidR="004C603A" w:rsidRDefault="004C603A" w:rsidP="004C4A50">
      <w:pPr>
        <w:kinsoku w:val="0"/>
        <w:overflowPunct w:val="0"/>
        <w:spacing w:line="480" w:lineRule="auto"/>
        <w:textAlignment w:val="baseline"/>
      </w:pPr>
    </w:p>
    <w:p w14:paraId="32CD5D91" w14:textId="64CD3D2C" w:rsidR="004C603A" w:rsidRDefault="004C603A" w:rsidP="004C4A50">
      <w:pPr>
        <w:kinsoku w:val="0"/>
        <w:overflowPunct w:val="0"/>
        <w:spacing w:line="480" w:lineRule="auto"/>
        <w:textAlignment w:val="baseline"/>
      </w:pPr>
    </w:p>
    <w:p w14:paraId="30B09F8C" w14:textId="530FDA96" w:rsidR="004C603A" w:rsidRDefault="004C603A" w:rsidP="004C4A50">
      <w:pPr>
        <w:kinsoku w:val="0"/>
        <w:overflowPunct w:val="0"/>
        <w:spacing w:line="480" w:lineRule="auto"/>
        <w:textAlignment w:val="baseline"/>
      </w:pPr>
    </w:p>
    <w:p w14:paraId="22417FD1" w14:textId="5C18DE7C" w:rsidR="004C603A" w:rsidRDefault="004C603A" w:rsidP="004C4A50">
      <w:pPr>
        <w:kinsoku w:val="0"/>
        <w:overflowPunct w:val="0"/>
        <w:spacing w:line="480" w:lineRule="auto"/>
        <w:textAlignment w:val="baseline"/>
      </w:pPr>
    </w:p>
    <w:p w14:paraId="411C2239" w14:textId="7186E4F5" w:rsidR="004C603A" w:rsidRDefault="004C603A" w:rsidP="004C4A50">
      <w:pPr>
        <w:kinsoku w:val="0"/>
        <w:overflowPunct w:val="0"/>
        <w:spacing w:line="480" w:lineRule="auto"/>
        <w:textAlignment w:val="baseline"/>
      </w:pPr>
    </w:p>
    <w:p w14:paraId="5F0A716E" w14:textId="330F69B9" w:rsidR="004C603A" w:rsidRDefault="004C603A" w:rsidP="004C4A50">
      <w:pPr>
        <w:kinsoku w:val="0"/>
        <w:overflowPunct w:val="0"/>
        <w:spacing w:line="480" w:lineRule="auto"/>
        <w:textAlignment w:val="baseline"/>
      </w:pPr>
    </w:p>
    <w:p w14:paraId="7157B545" w14:textId="77777777" w:rsidR="004C603A" w:rsidRPr="00520C7C" w:rsidRDefault="004C603A" w:rsidP="004C4A50">
      <w:pPr>
        <w:kinsoku w:val="0"/>
        <w:overflowPunct w:val="0"/>
        <w:spacing w:line="480" w:lineRule="auto"/>
        <w:textAlignment w:val="baseline"/>
        <w:rPr>
          <w:rFonts w:eastAsia="MS PGothic"/>
        </w:rPr>
      </w:pPr>
    </w:p>
    <w:p w14:paraId="05635190" w14:textId="6C716D09" w:rsidR="0044647A" w:rsidRDefault="0044647A" w:rsidP="00EB555B">
      <w:pPr>
        <w:pStyle w:val="xmsonormal"/>
        <w:shd w:val="clear" w:color="auto" w:fill="FFFFFF"/>
        <w:spacing w:before="0" w:beforeAutospacing="0" w:after="0" w:afterAutospacing="0" w:line="480" w:lineRule="auto"/>
        <w:textAlignment w:val="baseline"/>
        <w:rPr>
          <w:rFonts w:eastAsia="Times New Roman"/>
          <w:shd w:val="clear" w:color="auto" w:fill="FFFFFF"/>
        </w:rPr>
      </w:pPr>
    </w:p>
    <w:p w14:paraId="5670E8F4" w14:textId="095C8AE2" w:rsidR="007D405C" w:rsidRDefault="007D405C" w:rsidP="00EB555B">
      <w:pPr>
        <w:pStyle w:val="xmsonormal"/>
        <w:shd w:val="clear" w:color="auto" w:fill="FFFFFF"/>
        <w:spacing w:before="0" w:beforeAutospacing="0" w:after="0" w:afterAutospacing="0" w:line="480" w:lineRule="auto"/>
        <w:textAlignment w:val="baseline"/>
        <w:rPr>
          <w:rFonts w:eastAsia="Times New Roman"/>
          <w:shd w:val="clear" w:color="auto" w:fill="FFFFFF"/>
        </w:rPr>
      </w:pPr>
    </w:p>
    <w:p w14:paraId="3E48AB1C" w14:textId="07E566CD" w:rsidR="007D405C" w:rsidRDefault="007D405C" w:rsidP="00EB555B">
      <w:pPr>
        <w:pStyle w:val="xmsonormal"/>
        <w:shd w:val="clear" w:color="auto" w:fill="FFFFFF"/>
        <w:spacing w:before="0" w:beforeAutospacing="0" w:after="0" w:afterAutospacing="0" w:line="480" w:lineRule="auto"/>
        <w:textAlignment w:val="baseline"/>
        <w:rPr>
          <w:rFonts w:eastAsia="Times New Roman"/>
          <w:shd w:val="clear" w:color="auto" w:fill="FFFFFF"/>
        </w:rPr>
      </w:pPr>
    </w:p>
    <w:p w14:paraId="06A57562" w14:textId="2A7A548E" w:rsidR="007D405C" w:rsidRDefault="007D405C" w:rsidP="00EB555B">
      <w:pPr>
        <w:pStyle w:val="xmsonormal"/>
        <w:shd w:val="clear" w:color="auto" w:fill="FFFFFF"/>
        <w:spacing w:before="0" w:beforeAutospacing="0" w:after="0" w:afterAutospacing="0" w:line="480" w:lineRule="auto"/>
        <w:textAlignment w:val="baseline"/>
        <w:rPr>
          <w:rFonts w:eastAsia="Times New Roman"/>
          <w:shd w:val="clear" w:color="auto" w:fill="FFFFFF"/>
        </w:rPr>
      </w:pPr>
    </w:p>
    <w:p w14:paraId="320AA07B" w14:textId="1027ED40" w:rsidR="007D405C" w:rsidRDefault="007D405C" w:rsidP="00EB555B">
      <w:pPr>
        <w:pStyle w:val="xmsonormal"/>
        <w:shd w:val="clear" w:color="auto" w:fill="FFFFFF"/>
        <w:spacing w:before="0" w:beforeAutospacing="0" w:after="0" w:afterAutospacing="0" w:line="480" w:lineRule="auto"/>
        <w:textAlignment w:val="baseline"/>
        <w:rPr>
          <w:rFonts w:eastAsia="Times New Roman"/>
          <w:shd w:val="clear" w:color="auto" w:fill="FFFFFF"/>
        </w:rPr>
      </w:pPr>
    </w:p>
    <w:p w14:paraId="66C56599" w14:textId="3D972F02" w:rsidR="007D405C" w:rsidRDefault="007D405C" w:rsidP="00EB555B">
      <w:pPr>
        <w:pStyle w:val="xmsonormal"/>
        <w:shd w:val="clear" w:color="auto" w:fill="FFFFFF"/>
        <w:spacing w:before="0" w:beforeAutospacing="0" w:after="0" w:afterAutospacing="0" w:line="480" w:lineRule="auto"/>
        <w:textAlignment w:val="baseline"/>
        <w:rPr>
          <w:rFonts w:eastAsia="Times New Roman"/>
          <w:shd w:val="clear" w:color="auto" w:fill="FFFFFF"/>
        </w:rPr>
      </w:pPr>
    </w:p>
    <w:p w14:paraId="276F1C7E" w14:textId="54771A61" w:rsidR="003C116D" w:rsidRPr="00520C7C" w:rsidRDefault="003C116D" w:rsidP="00EB555B">
      <w:pPr>
        <w:pStyle w:val="xmsonormal"/>
        <w:shd w:val="clear" w:color="auto" w:fill="FFFFFF"/>
        <w:spacing w:before="0" w:beforeAutospacing="0" w:after="0" w:afterAutospacing="0" w:line="480" w:lineRule="auto"/>
        <w:textAlignment w:val="baseline"/>
        <w:rPr>
          <w:rFonts w:eastAsia="MS PGothic"/>
          <w:b/>
        </w:rPr>
      </w:pPr>
    </w:p>
    <w:p w14:paraId="7CA54674" w14:textId="7FB9836E" w:rsidR="009C7462" w:rsidRPr="00520C7C" w:rsidRDefault="009C7462" w:rsidP="001110EF">
      <w:pPr>
        <w:spacing w:after="102" w:line="480" w:lineRule="auto"/>
        <w:rPr>
          <w:rFonts w:eastAsia="Times New Roman"/>
          <w:szCs w:val="26"/>
          <w:lang w:eastAsia="en-GB"/>
        </w:rPr>
      </w:pPr>
      <w:r w:rsidRPr="00520C7C">
        <w:rPr>
          <w:rFonts w:eastAsia="Times New Roman"/>
          <w:b/>
          <w:szCs w:val="26"/>
          <w:lang w:eastAsia="en-GB"/>
        </w:rPr>
        <w:t>A</w:t>
      </w:r>
      <w:r w:rsidR="001110EF" w:rsidRPr="00520C7C">
        <w:rPr>
          <w:rFonts w:eastAsia="Times New Roman"/>
          <w:b/>
          <w:szCs w:val="26"/>
          <w:lang w:eastAsia="en-GB"/>
        </w:rPr>
        <w:t xml:space="preserve">cknowledgements: </w:t>
      </w:r>
      <w:r w:rsidR="003D21D8" w:rsidRPr="00520C7C">
        <w:rPr>
          <w:rFonts w:eastAsia="Times New Roman"/>
          <w:szCs w:val="26"/>
          <w:lang w:eastAsia="en-GB"/>
        </w:rPr>
        <w:t xml:space="preserve">Many thanks to </w:t>
      </w:r>
      <w:r w:rsidRPr="00520C7C">
        <w:rPr>
          <w:rFonts w:eastAsia="Times New Roman"/>
          <w:szCs w:val="26"/>
          <w:lang w:eastAsia="en-GB"/>
        </w:rPr>
        <w:t xml:space="preserve">Jordan Bell, Nicole Rowley and Ross Davison, who collected and collated raw </w:t>
      </w:r>
      <w:r w:rsidR="003D21D8" w:rsidRPr="00520C7C">
        <w:rPr>
          <w:rFonts w:eastAsia="Times New Roman"/>
          <w:szCs w:val="26"/>
          <w:lang w:eastAsia="en-GB"/>
        </w:rPr>
        <w:t xml:space="preserve">quantitative </w:t>
      </w:r>
      <w:r w:rsidRPr="00520C7C">
        <w:rPr>
          <w:rFonts w:eastAsia="Times New Roman"/>
          <w:szCs w:val="26"/>
          <w:lang w:eastAsia="en-GB"/>
        </w:rPr>
        <w:t>data.</w:t>
      </w:r>
    </w:p>
    <w:p w14:paraId="0AF420CE" w14:textId="0C6D67E8" w:rsidR="00F03E51" w:rsidRPr="00520C7C" w:rsidRDefault="00F03E51" w:rsidP="001110EF">
      <w:pPr>
        <w:spacing w:after="102" w:line="480" w:lineRule="auto"/>
        <w:rPr>
          <w:rFonts w:eastAsia="Times New Roman"/>
          <w:b/>
          <w:szCs w:val="26"/>
          <w:lang w:eastAsia="en-GB"/>
        </w:rPr>
      </w:pPr>
    </w:p>
    <w:p w14:paraId="194CC875" w14:textId="77777777" w:rsidR="00F03E51" w:rsidRPr="00520C7C" w:rsidRDefault="00F03E51" w:rsidP="00F03E51">
      <w:pPr>
        <w:spacing w:after="200" w:line="480" w:lineRule="auto"/>
        <w:rPr>
          <w:rFonts w:eastAsia="MS PGothic"/>
        </w:rPr>
      </w:pPr>
      <w:r w:rsidRPr="00520C7C">
        <w:rPr>
          <w:rFonts w:eastAsia="MS PGothic"/>
          <w:b/>
        </w:rPr>
        <w:t xml:space="preserve">Author Contributions: </w:t>
      </w:r>
      <w:r w:rsidRPr="00520C7C">
        <w:rPr>
          <w:rFonts w:eastAsia="MS PGothic"/>
        </w:rPr>
        <w:t xml:space="preserve">CDR, CH and EO contributed to design of the quantitative evaluation, data analysis and preparation the final document. LN contributed to design and analyses of the qualitative evaluation component. TF contributed to qualitative </w:t>
      </w:r>
      <w:proofErr w:type="gramStart"/>
      <w:r w:rsidRPr="00520C7C">
        <w:rPr>
          <w:rFonts w:eastAsia="MS PGothic"/>
        </w:rPr>
        <w:t>design and analysis</w:t>
      </w:r>
      <w:proofErr w:type="gramEnd"/>
      <w:r w:rsidRPr="00520C7C">
        <w:rPr>
          <w:rFonts w:eastAsia="MS PGothic"/>
        </w:rPr>
        <w:t xml:space="preserve"> and preparation of the final document. AL contributed to design of the quantitative evaluation and preparation of the final document. </w:t>
      </w:r>
    </w:p>
    <w:p w14:paraId="2A76EF51" w14:textId="77777777" w:rsidR="00AD589A" w:rsidRPr="00520C7C" w:rsidRDefault="00AD589A" w:rsidP="00AD589A">
      <w:pPr>
        <w:spacing w:after="200" w:line="480" w:lineRule="auto"/>
        <w:rPr>
          <w:rFonts w:eastAsia="MS PGothic"/>
          <w:b/>
        </w:rPr>
      </w:pPr>
    </w:p>
    <w:p w14:paraId="1832ADE1" w14:textId="782E9439" w:rsidR="00AD589A" w:rsidRPr="00520C7C" w:rsidRDefault="00AD589A" w:rsidP="00D61876">
      <w:pPr>
        <w:spacing w:after="200" w:line="480" w:lineRule="auto"/>
        <w:rPr>
          <w:rFonts w:eastAsia="MS PGothic"/>
        </w:rPr>
      </w:pPr>
      <w:r w:rsidRPr="00520C7C">
        <w:rPr>
          <w:rFonts w:eastAsia="MS PGothic"/>
          <w:b/>
        </w:rPr>
        <w:t xml:space="preserve">Funding: </w:t>
      </w:r>
      <w:r w:rsidRPr="00520C7C">
        <w:rPr>
          <w:rFonts w:eastAsia="MS PGothic"/>
        </w:rPr>
        <w:t xml:space="preserve">The quantitative evaluation component </w:t>
      </w:r>
      <w:proofErr w:type="gramStart"/>
      <w:r w:rsidRPr="00520C7C">
        <w:rPr>
          <w:rFonts w:eastAsia="MS PGothic"/>
        </w:rPr>
        <w:t>was supported</w:t>
      </w:r>
      <w:proofErr w:type="gramEnd"/>
      <w:r w:rsidRPr="00520C7C">
        <w:rPr>
          <w:rFonts w:eastAsia="MS PGothic"/>
        </w:rPr>
        <w:t xml:space="preserve"> by funding from the Wolfson Research Institute for Health and Wellbeing, Durham University. </w:t>
      </w:r>
      <w:r w:rsidRPr="00520C7C">
        <w:rPr>
          <w:szCs w:val="22"/>
        </w:rPr>
        <w:t>Amelia Lake is a member of Fuse, the Centre for Translational Research in Public</w:t>
      </w:r>
      <w:r w:rsidR="00C10182">
        <w:rPr>
          <w:szCs w:val="22"/>
        </w:rPr>
        <w:t xml:space="preserve"> </w:t>
      </w:r>
      <w:r w:rsidRPr="00520C7C">
        <w:rPr>
          <w:szCs w:val="22"/>
        </w:rPr>
        <w:t xml:space="preserve">Health (www.fuse.ac.uk). Fuse is a UK Clinical Research Collaboration (UKCRC) Public Health Research Centre of Excellence. Funding for Fuse from the British Heart Foundation, Cancer Research UK, Economic and Social Research Council, Medical Research Council, the National Institute for Health Research, under the auspices of the UKCRC, </w:t>
      </w:r>
      <w:proofErr w:type="gramStart"/>
      <w:r w:rsidRPr="00520C7C">
        <w:rPr>
          <w:szCs w:val="22"/>
        </w:rPr>
        <w:t>is gratefully acknowledged</w:t>
      </w:r>
      <w:proofErr w:type="gramEnd"/>
      <w:r w:rsidRPr="00520C7C">
        <w:rPr>
          <w:szCs w:val="22"/>
        </w:rPr>
        <w:t>. The views expressed in this paper do not necessarily represent those of the funders or UKCRC. The funders had no role in study design, data collection and analysis, decision to publish, or preparation of the manuscript.</w:t>
      </w:r>
    </w:p>
    <w:p w14:paraId="3F85EEB8" w14:textId="77777777" w:rsidR="00287434" w:rsidRPr="00520C7C" w:rsidRDefault="00287434" w:rsidP="00EB555B">
      <w:pPr>
        <w:spacing w:after="200" w:line="276" w:lineRule="auto"/>
        <w:rPr>
          <w:rFonts w:eastAsia="MS PGothic"/>
          <w:b/>
        </w:rPr>
      </w:pPr>
    </w:p>
    <w:p w14:paraId="41A6C4A2" w14:textId="3F6A438D" w:rsidR="006B02D5" w:rsidRPr="00520C7C" w:rsidRDefault="005721FE" w:rsidP="005721FE">
      <w:pPr>
        <w:spacing w:after="200" w:line="480" w:lineRule="auto"/>
        <w:rPr>
          <w:rFonts w:eastAsia="MS PGothic"/>
          <w:b/>
        </w:rPr>
      </w:pPr>
      <w:r w:rsidRPr="00520C7C">
        <w:rPr>
          <w:rFonts w:eastAsia="MS PGothic"/>
          <w:b/>
        </w:rPr>
        <w:t>C</w:t>
      </w:r>
      <w:r w:rsidR="001110EF" w:rsidRPr="00520C7C">
        <w:rPr>
          <w:rFonts w:eastAsia="MS PGothic"/>
          <w:b/>
        </w:rPr>
        <w:t>ompeting interests:</w:t>
      </w:r>
      <w:r w:rsidR="008D1CB7" w:rsidRPr="00520C7C">
        <w:rPr>
          <w:rFonts w:eastAsia="MS PGothic"/>
          <w:b/>
        </w:rPr>
        <w:t xml:space="preserve"> </w:t>
      </w:r>
      <w:r w:rsidR="00417FEC" w:rsidRPr="00520C7C">
        <w:rPr>
          <w:rFonts w:eastAsia="MS PGothic"/>
        </w:rPr>
        <w:t xml:space="preserve">CH is a former employee of the Leisure Trust </w:t>
      </w:r>
      <w:r w:rsidR="003D21D8" w:rsidRPr="00520C7C">
        <w:rPr>
          <w:rFonts w:eastAsia="MS PGothic"/>
        </w:rPr>
        <w:t xml:space="preserve">and </w:t>
      </w:r>
      <w:r w:rsidR="00417FEC" w:rsidRPr="00520C7C">
        <w:rPr>
          <w:rFonts w:eastAsia="MS PGothic"/>
        </w:rPr>
        <w:t xml:space="preserve">was instrumental in </w:t>
      </w:r>
      <w:r w:rsidR="003D21D8" w:rsidRPr="00520C7C">
        <w:rPr>
          <w:rFonts w:eastAsia="MS PGothic"/>
        </w:rPr>
        <w:t>initiating the evaluation.</w:t>
      </w:r>
      <w:r w:rsidR="00417FEC" w:rsidRPr="00520C7C">
        <w:rPr>
          <w:rFonts w:eastAsia="MS PGothic"/>
        </w:rPr>
        <w:t xml:space="preserve"> </w:t>
      </w:r>
      <w:r w:rsidR="003D21D8" w:rsidRPr="00520C7C">
        <w:rPr>
          <w:rFonts w:eastAsia="MS PGothic"/>
        </w:rPr>
        <w:t xml:space="preserve">She was </w:t>
      </w:r>
      <w:r w:rsidR="00417FEC" w:rsidRPr="00520C7C">
        <w:rPr>
          <w:rFonts w:eastAsia="MS PGothic"/>
        </w:rPr>
        <w:t xml:space="preserve">subsequently </w:t>
      </w:r>
      <w:proofErr w:type="gramStart"/>
      <w:r w:rsidR="00417FEC" w:rsidRPr="00520C7C">
        <w:rPr>
          <w:rFonts w:eastAsia="MS PGothic"/>
        </w:rPr>
        <w:t>employed</w:t>
      </w:r>
      <w:proofErr w:type="gramEnd"/>
      <w:r w:rsidR="00417FEC" w:rsidRPr="00520C7C">
        <w:rPr>
          <w:rFonts w:eastAsia="MS PGothic"/>
        </w:rPr>
        <w:t xml:space="preserve"> as a</w:t>
      </w:r>
      <w:r w:rsidR="003D21D8" w:rsidRPr="00520C7C">
        <w:rPr>
          <w:rFonts w:eastAsia="MS PGothic"/>
        </w:rPr>
        <w:t xml:space="preserve"> research assistant at Durham University,</w:t>
      </w:r>
      <w:r w:rsidR="00417FEC" w:rsidRPr="00520C7C">
        <w:rPr>
          <w:rFonts w:eastAsia="MS PGothic"/>
        </w:rPr>
        <w:t xml:space="preserve"> however was not involved in </w:t>
      </w:r>
      <w:r w:rsidR="003D21D8" w:rsidRPr="00520C7C">
        <w:rPr>
          <w:rFonts w:eastAsia="MS PGothic"/>
        </w:rPr>
        <w:t xml:space="preserve">any data </w:t>
      </w:r>
      <w:r w:rsidR="00417FEC" w:rsidRPr="00520C7C">
        <w:rPr>
          <w:rFonts w:eastAsia="MS PGothic"/>
        </w:rPr>
        <w:t>collection or entry</w:t>
      </w:r>
      <w:r w:rsidR="003D21D8" w:rsidRPr="00520C7C">
        <w:rPr>
          <w:rFonts w:eastAsia="MS PGothic"/>
        </w:rPr>
        <w:t xml:space="preserve">, only accessing </w:t>
      </w:r>
      <w:r w:rsidR="0035737B" w:rsidRPr="00520C7C">
        <w:rPr>
          <w:rFonts w:eastAsia="MS PGothic"/>
        </w:rPr>
        <w:t>an</w:t>
      </w:r>
      <w:r w:rsidR="00417FEC" w:rsidRPr="00520C7C">
        <w:rPr>
          <w:rFonts w:eastAsia="MS PGothic"/>
        </w:rPr>
        <w:t xml:space="preserve"> anonymised database submitted </w:t>
      </w:r>
      <w:r w:rsidR="003D21D8" w:rsidRPr="00520C7C">
        <w:rPr>
          <w:rFonts w:eastAsia="MS PGothic"/>
        </w:rPr>
        <w:t>to the University.</w:t>
      </w:r>
      <w:r w:rsidR="004C4A50" w:rsidRPr="00520C7C">
        <w:rPr>
          <w:rFonts w:eastAsia="MS PGothic"/>
          <w:b/>
        </w:rPr>
        <w:t xml:space="preserve"> </w:t>
      </w:r>
      <w:r w:rsidR="003D21D8" w:rsidRPr="00520C7C">
        <w:rPr>
          <w:rFonts w:eastAsia="MS PGothic"/>
        </w:rPr>
        <w:t xml:space="preserve">LN was a Public Health Improvement </w:t>
      </w:r>
      <w:r w:rsidR="00640460" w:rsidRPr="00520C7C">
        <w:rPr>
          <w:rFonts w:eastAsia="MS PGothic"/>
        </w:rPr>
        <w:t>Manager</w:t>
      </w:r>
      <w:r w:rsidR="003D21D8" w:rsidRPr="00520C7C">
        <w:rPr>
          <w:rFonts w:eastAsia="MS PGothic"/>
        </w:rPr>
        <w:t xml:space="preserve"> within the Public Health Team and had responsibility for</w:t>
      </w:r>
      <w:r w:rsidR="003823CA" w:rsidRPr="00520C7C">
        <w:rPr>
          <w:rFonts w:eastAsia="MS PGothic"/>
        </w:rPr>
        <w:t xml:space="preserve"> commissioning</w:t>
      </w:r>
      <w:r w:rsidR="003D21D8" w:rsidRPr="00520C7C">
        <w:rPr>
          <w:rFonts w:eastAsia="MS PGothic"/>
        </w:rPr>
        <w:t xml:space="preserve"> the Momenta programme. The qualitative evaluation component </w:t>
      </w:r>
      <w:proofErr w:type="gramStart"/>
      <w:r w:rsidR="003D21D8" w:rsidRPr="00520C7C">
        <w:rPr>
          <w:rFonts w:eastAsia="MS PGothic"/>
        </w:rPr>
        <w:t>was submitted</w:t>
      </w:r>
      <w:proofErr w:type="gramEnd"/>
      <w:r w:rsidR="003D21D8" w:rsidRPr="00520C7C">
        <w:rPr>
          <w:rFonts w:eastAsia="MS PGothic"/>
        </w:rPr>
        <w:t xml:space="preserve"> in partial fulfilment of her Master</w:t>
      </w:r>
      <w:r w:rsidR="00C16CD6">
        <w:rPr>
          <w:rFonts w:eastAsia="MS PGothic"/>
        </w:rPr>
        <w:t>’</w:t>
      </w:r>
      <w:r w:rsidR="003D21D8" w:rsidRPr="00520C7C">
        <w:rPr>
          <w:rFonts w:eastAsia="MS PGothic"/>
        </w:rPr>
        <w:t>s in Public Health at Newcastle University.</w:t>
      </w:r>
    </w:p>
    <w:p w14:paraId="11336C50" w14:textId="77777777" w:rsidR="00AD589A" w:rsidRPr="00520C7C" w:rsidRDefault="00AD589A" w:rsidP="00AD589A">
      <w:pPr>
        <w:kinsoku w:val="0"/>
        <w:overflowPunct w:val="0"/>
        <w:spacing w:line="480" w:lineRule="auto"/>
        <w:textAlignment w:val="baseline"/>
        <w:rPr>
          <w:rFonts w:eastAsia="MS PGothic"/>
          <w:b/>
          <w:i/>
        </w:rPr>
      </w:pPr>
    </w:p>
    <w:p w14:paraId="302C0D72" w14:textId="7CCF01D1" w:rsidR="006B02D5" w:rsidRPr="00520C7C" w:rsidRDefault="00AD589A" w:rsidP="00AD589A">
      <w:pPr>
        <w:spacing w:after="200" w:line="480" w:lineRule="auto"/>
        <w:rPr>
          <w:rFonts w:eastAsia="MS PGothic"/>
          <w:b/>
        </w:rPr>
      </w:pPr>
      <w:r w:rsidRPr="00520C7C">
        <w:rPr>
          <w:rFonts w:eastAsia="MS PGothic"/>
          <w:b/>
        </w:rPr>
        <w:t xml:space="preserve">Participant consent: </w:t>
      </w:r>
      <w:r w:rsidRPr="00520C7C">
        <w:rPr>
          <w:rFonts w:eastAsia="MS PGothic"/>
        </w:rPr>
        <w:t xml:space="preserve">Consent </w:t>
      </w:r>
      <w:proofErr w:type="gramStart"/>
      <w:r w:rsidRPr="00520C7C">
        <w:rPr>
          <w:rFonts w:eastAsia="MS PGothic"/>
        </w:rPr>
        <w:t>was obtained</w:t>
      </w:r>
      <w:proofErr w:type="gramEnd"/>
      <w:r w:rsidRPr="00520C7C">
        <w:rPr>
          <w:rFonts w:eastAsia="MS PGothic"/>
        </w:rPr>
        <w:t xml:space="preserve"> </w:t>
      </w:r>
      <w:r w:rsidRPr="00520C7C">
        <w:t>for face-to-face interviews and focus groups.</w:t>
      </w:r>
      <w:r w:rsidRPr="00520C7C">
        <w:rPr>
          <w:rFonts w:eastAsia="MS PGothic"/>
        </w:rPr>
        <w:t xml:space="preserve"> </w:t>
      </w:r>
      <w:r w:rsidRPr="00520C7C">
        <w:t xml:space="preserve">Service users </w:t>
      </w:r>
      <w:proofErr w:type="gramStart"/>
      <w:r w:rsidRPr="00520C7C">
        <w:t>were informed</w:t>
      </w:r>
      <w:proofErr w:type="gramEnd"/>
      <w:r w:rsidRPr="00520C7C">
        <w:t xml:space="preserve"> in writing of the nature of the quantitative service evaluation and how to withdraw from it. T</w:t>
      </w:r>
      <w:r w:rsidRPr="00520C7C">
        <w:rPr>
          <w:rFonts w:eastAsia="MS PGothic"/>
        </w:rPr>
        <w:t xml:space="preserve">he presented data </w:t>
      </w:r>
      <w:proofErr w:type="gramStart"/>
      <w:r w:rsidRPr="00520C7C">
        <w:rPr>
          <w:rFonts w:eastAsia="MS PGothic"/>
        </w:rPr>
        <w:t>are anonymised</w:t>
      </w:r>
      <w:proofErr w:type="gramEnd"/>
      <w:r w:rsidRPr="00520C7C">
        <w:rPr>
          <w:rFonts w:eastAsia="MS PGothic"/>
        </w:rPr>
        <w:t xml:space="preserve"> with risk of identification low.</w:t>
      </w:r>
    </w:p>
    <w:p w14:paraId="64A07710" w14:textId="77777777" w:rsidR="006B02D5" w:rsidRPr="00520C7C" w:rsidRDefault="006B02D5" w:rsidP="005721FE">
      <w:pPr>
        <w:spacing w:after="200" w:line="480" w:lineRule="auto"/>
        <w:rPr>
          <w:rFonts w:eastAsia="MS PGothic"/>
          <w:b/>
        </w:rPr>
      </w:pPr>
    </w:p>
    <w:p w14:paraId="51A0D244" w14:textId="760B550B" w:rsidR="001110EF" w:rsidRPr="00520C7C" w:rsidRDefault="001110EF" w:rsidP="006B02D5">
      <w:pPr>
        <w:kinsoku w:val="0"/>
        <w:overflowPunct w:val="0"/>
        <w:spacing w:line="480" w:lineRule="auto"/>
        <w:textAlignment w:val="baseline"/>
      </w:pPr>
      <w:r w:rsidRPr="00520C7C">
        <w:rPr>
          <w:rFonts w:eastAsia="MS PGothic"/>
          <w:b/>
        </w:rPr>
        <w:t>Ethics approval</w:t>
      </w:r>
      <w:r w:rsidRPr="00520C7C">
        <w:rPr>
          <w:rFonts w:eastAsia="MS PGothic"/>
        </w:rPr>
        <w:t xml:space="preserve">: </w:t>
      </w:r>
      <w:r w:rsidRPr="00520C7C">
        <w:t xml:space="preserve">Ethical advice </w:t>
      </w:r>
      <w:proofErr w:type="gramStart"/>
      <w:r w:rsidRPr="00520C7C">
        <w:t>was sought</w:t>
      </w:r>
      <w:proofErr w:type="gramEnd"/>
      <w:r w:rsidRPr="00520C7C">
        <w:t xml:space="preserve"> from</w:t>
      </w:r>
      <w:r w:rsidRPr="00520C7C">
        <w:rPr>
          <w:bCs/>
        </w:rPr>
        <w:t xml:space="preserve"> the local Research Manager of </w:t>
      </w:r>
      <w:r w:rsidRPr="00520C7C">
        <w:t>North of England Commissioning Support, and this project was classed as a service evaluation in line with National Research Ethics Service guidance</w:t>
      </w:r>
      <w:r w:rsidRPr="00520C7C">
        <w:rPr>
          <w:rFonts w:eastAsia="Times New Roman"/>
        </w:rPr>
        <w:t>.</w:t>
      </w:r>
      <w:r w:rsidRPr="00520C7C">
        <w:t xml:space="preserve"> </w:t>
      </w:r>
    </w:p>
    <w:p w14:paraId="6A88B451" w14:textId="77777777" w:rsidR="00AD589A" w:rsidRPr="00520C7C" w:rsidRDefault="00AD589A" w:rsidP="001110EF">
      <w:pPr>
        <w:spacing w:after="200" w:line="480" w:lineRule="auto"/>
        <w:rPr>
          <w:rFonts w:eastAsia="MS PGothic"/>
          <w:b/>
        </w:rPr>
      </w:pPr>
    </w:p>
    <w:p w14:paraId="1545618F" w14:textId="6904BA12" w:rsidR="00AD589A" w:rsidRPr="00520C7C" w:rsidRDefault="00AD589A" w:rsidP="00AD589A">
      <w:pPr>
        <w:spacing w:after="200" w:line="480" w:lineRule="auto"/>
        <w:rPr>
          <w:rFonts w:eastAsia="MS PGothic"/>
        </w:rPr>
      </w:pPr>
      <w:r w:rsidRPr="00520C7C">
        <w:rPr>
          <w:rFonts w:eastAsia="MS PGothic"/>
          <w:b/>
        </w:rPr>
        <w:t xml:space="preserve">Data </w:t>
      </w:r>
      <w:r w:rsidR="00891693">
        <w:rPr>
          <w:rFonts w:eastAsia="MS PGothic"/>
          <w:b/>
        </w:rPr>
        <w:t xml:space="preserve">availability </w:t>
      </w:r>
      <w:r w:rsidRPr="00520C7C">
        <w:rPr>
          <w:rFonts w:eastAsia="MS PGothic"/>
          <w:b/>
        </w:rPr>
        <w:t xml:space="preserve">statement: </w:t>
      </w:r>
      <w:r w:rsidRPr="00520C7C">
        <w:rPr>
          <w:rFonts w:eastAsia="MS PGothic"/>
        </w:rPr>
        <w:t>No additional data are available</w:t>
      </w:r>
      <w:r w:rsidR="00891693">
        <w:rPr>
          <w:rFonts w:eastAsia="MS PGothic"/>
        </w:rPr>
        <w:t xml:space="preserve"> because this was a service evaluation</w:t>
      </w:r>
      <w:r w:rsidR="0076281C">
        <w:rPr>
          <w:rFonts w:eastAsia="MS PGothic"/>
        </w:rPr>
        <w:t>.</w:t>
      </w:r>
    </w:p>
    <w:p w14:paraId="5D9F360D" w14:textId="40006753" w:rsidR="005261D2" w:rsidRPr="00520C7C" w:rsidRDefault="00D56F0A" w:rsidP="001110EF">
      <w:pPr>
        <w:spacing w:after="200" w:line="480" w:lineRule="auto"/>
        <w:rPr>
          <w:rFonts w:eastAsia="MS PGothic"/>
          <w:b/>
        </w:rPr>
      </w:pPr>
      <w:r w:rsidRPr="00520C7C">
        <w:rPr>
          <w:rFonts w:eastAsia="MS PGothic"/>
          <w:b/>
        </w:rPr>
        <w:br w:type="page"/>
      </w:r>
    </w:p>
    <w:p w14:paraId="1133AB2A" w14:textId="77777777" w:rsidR="005A3DB1" w:rsidRPr="00520C7C" w:rsidRDefault="005A3DB1" w:rsidP="005A3DB1">
      <w:pPr>
        <w:rPr>
          <w:b/>
          <w:noProof/>
        </w:rPr>
      </w:pPr>
      <w:r w:rsidRPr="00520C7C">
        <w:rPr>
          <w:b/>
          <w:noProof/>
        </w:rPr>
        <w:t>REFERENCES</w:t>
      </w:r>
    </w:p>
    <w:p w14:paraId="063A22AF" w14:textId="77777777" w:rsidR="005A3DB1" w:rsidRPr="00520C7C" w:rsidRDefault="005A3DB1" w:rsidP="005A3DB1">
      <w:pPr>
        <w:rPr>
          <w:b/>
          <w:sz w:val="36"/>
        </w:rPr>
      </w:pPr>
    </w:p>
    <w:p w14:paraId="7F513E6E" w14:textId="77777777" w:rsidR="005A3DB1" w:rsidRPr="00520C7C" w:rsidRDefault="005A3DB1" w:rsidP="005A3DB1"/>
    <w:p w14:paraId="6AD4FE44" w14:textId="77777777" w:rsidR="005A3DB1" w:rsidRPr="00520C7C" w:rsidRDefault="005A3DB1" w:rsidP="005A3DB1">
      <w:pPr>
        <w:pStyle w:val="EndNoteBibliography"/>
        <w:numPr>
          <w:ilvl w:val="0"/>
          <w:numId w:val="17"/>
        </w:numPr>
        <w:spacing w:after="480"/>
        <w:ind w:left="360"/>
      </w:pPr>
      <w:r w:rsidRPr="00520C7C">
        <w:t xml:space="preserve">Haines A, Kuruvilla S, Borchert M. Bridging the implementation gap between knowledge and action for health. (Theme Papers). </w:t>
      </w:r>
      <w:r w:rsidRPr="00520C7C">
        <w:rPr>
          <w:i/>
        </w:rPr>
        <w:t>Bull World Health Organ</w:t>
      </w:r>
      <w:r w:rsidRPr="00520C7C">
        <w:t xml:space="preserve"> 2004;82:724.</w:t>
      </w:r>
    </w:p>
    <w:p w14:paraId="082B5DBC" w14:textId="77777777" w:rsidR="005A3DB1" w:rsidRPr="00520C7C" w:rsidRDefault="005A3DB1" w:rsidP="005A3DB1">
      <w:pPr>
        <w:pStyle w:val="EndNoteBibliography"/>
        <w:numPr>
          <w:ilvl w:val="0"/>
          <w:numId w:val="17"/>
        </w:numPr>
        <w:spacing w:after="480"/>
        <w:ind w:left="360"/>
      </w:pPr>
      <w:r w:rsidRPr="00520C7C">
        <w:t xml:space="preserve">Curran GM, Bauer M, Mittman B, </w:t>
      </w:r>
      <w:r w:rsidRPr="00520C7C">
        <w:rPr>
          <w:i/>
        </w:rPr>
        <w:t>et al</w:t>
      </w:r>
      <w:r w:rsidRPr="00520C7C">
        <w:t xml:space="preserve">. Effectiveness-implementation Hybrid Designs: Combining Elements of Clinical Effectiveness and Implementation Research to Enhance Public Health Impact. </w:t>
      </w:r>
      <w:r w:rsidRPr="00520C7C">
        <w:rPr>
          <w:i/>
        </w:rPr>
        <w:t>Med Care</w:t>
      </w:r>
      <w:r w:rsidRPr="00520C7C">
        <w:t xml:space="preserve"> 2012;50:217-26.</w:t>
      </w:r>
    </w:p>
    <w:p w14:paraId="02B79F7C" w14:textId="77777777" w:rsidR="005A3DB1" w:rsidRPr="00520C7C" w:rsidRDefault="005A3DB1" w:rsidP="005A3DB1">
      <w:pPr>
        <w:pStyle w:val="EndNoteBibliography"/>
        <w:numPr>
          <w:ilvl w:val="0"/>
          <w:numId w:val="17"/>
        </w:numPr>
        <w:spacing w:after="480"/>
        <w:ind w:left="360"/>
      </w:pPr>
      <w:r w:rsidRPr="00520C7C">
        <w:t xml:space="preserve">Sales A, Smith J, Curran G, </w:t>
      </w:r>
      <w:r w:rsidRPr="00520C7C">
        <w:rPr>
          <w:i/>
        </w:rPr>
        <w:t>et al</w:t>
      </w:r>
      <w:r w:rsidRPr="00520C7C">
        <w:t xml:space="preserve">. Models, Strategies, and Tools: Theory in Implementing Evidence-Based Findings into Health Care Practice. </w:t>
      </w:r>
      <w:r w:rsidRPr="00520C7C">
        <w:rPr>
          <w:i/>
        </w:rPr>
        <w:t>J Gen Int Med</w:t>
      </w:r>
      <w:r w:rsidRPr="00520C7C">
        <w:t xml:space="preserve"> 2006;21:S43-S9.</w:t>
      </w:r>
    </w:p>
    <w:p w14:paraId="596E15A3" w14:textId="77777777" w:rsidR="005A3DB1" w:rsidRPr="00520C7C" w:rsidRDefault="005A3DB1" w:rsidP="005A3DB1">
      <w:pPr>
        <w:pStyle w:val="EndNoteBibliography"/>
        <w:numPr>
          <w:ilvl w:val="0"/>
          <w:numId w:val="17"/>
        </w:numPr>
        <w:spacing w:after="480"/>
        <w:ind w:left="360"/>
      </w:pPr>
      <w:r w:rsidRPr="00520C7C">
        <w:t xml:space="preserve">Kilbourne AM, Neumann MS, Pincus HA, </w:t>
      </w:r>
      <w:r w:rsidRPr="00520C7C">
        <w:rPr>
          <w:i/>
        </w:rPr>
        <w:t>et al</w:t>
      </w:r>
      <w:r w:rsidRPr="00520C7C">
        <w:t xml:space="preserve">. Implementing evidence-based interventions in health care: application of the replicating effective programs framework. </w:t>
      </w:r>
      <w:r w:rsidRPr="00520C7C">
        <w:rPr>
          <w:i/>
        </w:rPr>
        <w:t>Implement Sci</w:t>
      </w:r>
      <w:r>
        <w:t xml:space="preserve"> 2007;2:42.</w:t>
      </w:r>
    </w:p>
    <w:p w14:paraId="6F40F3E4" w14:textId="77777777" w:rsidR="005A3DB1" w:rsidRPr="00520C7C" w:rsidRDefault="005A3DB1" w:rsidP="005A3DB1">
      <w:pPr>
        <w:pStyle w:val="EndNoteBibliography"/>
        <w:numPr>
          <w:ilvl w:val="0"/>
          <w:numId w:val="17"/>
        </w:numPr>
        <w:spacing w:after="480"/>
        <w:ind w:left="360"/>
      </w:pPr>
      <w:r w:rsidRPr="00520C7C">
        <w:t>Medical Research Council. Developing and evaluating complex interventions: new guidance. UK: Medical Research Council, 2006. https://mrc.ukri.org/documents/pdf/developing-and-evaluating-complex-interve</w:t>
      </w:r>
      <w:r>
        <w:t>ntions/. (Accessed 10 Aug 2018)</w:t>
      </w:r>
    </w:p>
    <w:p w14:paraId="29D97554" w14:textId="77777777" w:rsidR="005A3DB1" w:rsidRPr="00520C7C" w:rsidRDefault="005A3DB1" w:rsidP="005A3DB1">
      <w:pPr>
        <w:pStyle w:val="EndNoteBibliography"/>
        <w:numPr>
          <w:ilvl w:val="0"/>
          <w:numId w:val="17"/>
        </w:numPr>
        <w:spacing w:after="480"/>
        <w:ind w:left="360"/>
      </w:pPr>
      <w:r w:rsidRPr="00520C7C">
        <w:t xml:space="preserve">Oliver K, Kothari A, Mays N. The dark side of coproduction: do the costs outweight the benefits for health research? </w:t>
      </w:r>
      <w:r w:rsidRPr="00520C7C">
        <w:rPr>
          <w:i/>
        </w:rPr>
        <w:t xml:space="preserve">Health Research Policy and Systems </w:t>
      </w:r>
      <w:r w:rsidRPr="00520C7C">
        <w:t>2019;17:33.</w:t>
      </w:r>
      <w:r w:rsidRPr="00520C7C">
        <w:rPr>
          <w:i/>
        </w:rPr>
        <w:t xml:space="preserve"> </w:t>
      </w:r>
    </w:p>
    <w:p w14:paraId="1676E8F7" w14:textId="77777777" w:rsidR="005A3DB1" w:rsidRPr="00520C7C" w:rsidRDefault="005A3DB1" w:rsidP="005A3DB1">
      <w:pPr>
        <w:pStyle w:val="EndNoteBibliography"/>
        <w:spacing w:after="480"/>
        <w:ind w:left="360"/>
      </w:pPr>
    </w:p>
    <w:p w14:paraId="6AD41036" w14:textId="77777777" w:rsidR="005A3DB1" w:rsidRPr="00520C7C" w:rsidRDefault="005A3DB1" w:rsidP="005A3DB1">
      <w:pPr>
        <w:pStyle w:val="EndNoteBibliography"/>
        <w:numPr>
          <w:ilvl w:val="0"/>
          <w:numId w:val="17"/>
        </w:numPr>
        <w:spacing w:after="480"/>
        <w:ind w:left="360"/>
      </w:pPr>
      <w:r w:rsidRPr="00520C7C">
        <w:t xml:space="preserve">Meisinger C, Döring A, Thorand B, </w:t>
      </w:r>
      <w:r w:rsidRPr="00520C7C">
        <w:rPr>
          <w:i/>
        </w:rPr>
        <w:t>et al</w:t>
      </w:r>
      <w:r w:rsidRPr="00520C7C">
        <w:t xml:space="preserve">. Body fat distribution and risk of type 2 diabetes in the general population: are there differences between men and women? The MONICA/KORA Augsburg Cohort Study. </w:t>
      </w:r>
      <w:r w:rsidRPr="00520C7C">
        <w:rPr>
          <w:i/>
        </w:rPr>
        <w:t>Am J Clin Nutr</w:t>
      </w:r>
      <w:r w:rsidRPr="00520C7C">
        <w:t xml:space="preserve"> 2006;84:483-9.</w:t>
      </w:r>
    </w:p>
    <w:p w14:paraId="647EE891" w14:textId="77777777" w:rsidR="005A3DB1" w:rsidRPr="00520C7C" w:rsidRDefault="005A3DB1" w:rsidP="005A3DB1">
      <w:pPr>
        <w:pStyle w:val="EndNoteBibliography"/>
        <w:numPr>
          <w:ilvl w:val="0"/>
          <w:numId w:val="17"/>
        </w:numPr>
        <w:spacing w:after="480"/>
        <w:ind w:left="360"/>
      </w:pPr>
      <w:r w:rsidRPr="00520C7C">
        <w:t xml:space="preserve">Bhaskaran K, Douglas I, Forbes H, </w:t>
      </w:r>
      <w:r w:rsidRPr="00520C7C">
        <w:rPr>
          <w:i/>
        </w:rPr>
        <w:t>et al</w:t>
      </w:r>
      <w:r w:rsidRPr="00520C7C">
        <w:t xml:space="preserve">. Body-mass index and risk of 22 specific cancers: a population-based cohort study of 5·24 million UK adults. </w:t>
      </w:r>
      <w:r w:rsidRPr="00520C7C">
        <w:rPr>
          <w:i/>
        </w:rPr>
        <w:t>Lancet</w:t>
      </w:r>
      <w:r w:rsidRPr="00520C7C">
        <w:t xml:space="preserve"> 2014;384:755-65.</w:t>
      </w:r>
    </w:p>
    <w:p w14:paraId="73ACF3BD" w14:textId="77777777" w:rsidR="005A3DB1" w:rsidRPr="00520C7C" w:rsidRDefault="005A3DB1" w:rsidP="005A3DB1">
      <w:pPr>
        <w:pStyle w:val="EndNoteBibliography"/>
        <w:numPr>
          <w:ilvl w:val="0"/>
          <w:numId w:val="17"/>
        </w:numPr>
        <w:spacing w:after="480"/>
        <w:ind w:left="360"/>
      </w:pPr>
      <w:r w:rsidRPr="00520C7C">
        <w:t xml:space="preserve">Zhang C, Rexrode KM, Van Dam RM, </w:t>
      </w:r>
      <w:r w:rsidRPr="00520C7C">
        <w:rPr>
          <w:i/>
        </w:rPr>
        <w:t>et al</w:t>
      </w:r>
      <w:r w:rsidRPr="00520C7C">
        <w:t xml:space="preserve">. Abdominal obesity and the risk of all-cause, cardiovascular, and cancer mortality: sixteen years of follow-up in US women. </w:t>
      </w:r>
      <w:r w:rsidRPr="00520C7C">
        <w:rPr>
          <w:i/>
        </w:rPr>
        <w:t>Circ</w:t>
      </w:r>
      <w:r w:rsidRPr="00520C7C">
        <w:t xml:space="preserve"> 2008;117:1658-67.</w:t>
      </w:r>
    </w:p>
    <w:p w14:paraId="4D0F9D89" w14:textId="77777777" w:rsidR="005A3DB1" w:rsidRPr="00520C7C" w:rsidRDefault="005A3DB1" w:rsidP="005A3DB1">
      <w:pPr>
        <w:pStyle w:val="EndNoteBibliography"/>
        <w:numPr>
          <w:ilvl w:val="0"/>
          <w:numId w:val="17"/>
        </w:numPr>
        <w:spacing w:after="480"/>
        <w:ind w:left="360"/>
      </w:pPr>
      <w:r w:rsidRPr="00520C7C">
        <w:t>Kolotkin RL, Andersen JR. A systematic review of reviews: exploring the relationship between obesity, weight loss and health</w:t>
      </w:r>
      <w:r w:rsidRPr="00520C7C">
        <w:rPr>
          <w:rFonts w:ascii="Cambria Math" w:hAnsi="Cambria Math" w:cs="Cambria Math"/>
        </w:rPr>
        <w:t>‐</w:t>
      </w:r>
      <w:r w:rsidRPr="00520C7C">
        <w:t xml:space="preserve">related quality of life. </w:t>
      </w:r>
      <w:r w:rsidRPr="00520C7C">
        <w:rPr>
          <w:i/>
        </w:rPr>
        <w:t>Clin Obes</w:t>
      </w:r>
      <w:r w:rsidRPr="00520C7C">
        <w:t xml:space="preserve"> 2017;7:273-89.</w:t>
      </w:r>
    </w:p>
    <w:p w14:paraId="6B1B5E9E" w14:textId="77777777" w:rsidR="005A3DB1" w:rsidRPr="00520C7C" w:rsidRDefault="005A3DB1" w:rsidP="005A3DB1">
      <w:pPr>
        <w:pStyle w:val="EndNoteBibliography"/>
        <w:numPr>
          <w:ilvl w:val="0"/>
          <w:numId w:val="17"/>
        </w:numPr>
        <w:spacing w:after="480"/>
        <w:ind w:left="360"/>
      </w:pPr>
      <w:r w:rsidRPr="00520C7C">
        <w:t xml:space="preserve">Simon GE, Von Korff M, Saunders K, </w:t>
      </w:r>
      <w:r w:rsidRPr="00520C7C">
        <w:rPr>
          <w:i/>
        </w:rPr>
        <w:t>et al</w:t>
      </w:r>
      <w:r w:rsidRPr="00520C7C">
        <w:t xml:space="preserve">. Association between obesity and psychiatric disorders in the us adult population. </w:t>
      </w:r>
      <w:r w:rsidRPr="00520C7C">
        <w:rPr>
          <w:i/>
        </w:rPr>
        <w:t>Arch Gen Psychiatry</w:t>
      </w:r>
      <w:r w:rsidRPr="00520C7C">
        <w:t xml:space="preserve"> 2006;63(7):824-30.</w:t>
      </w:r>
    </w:p>
    <w:p w14:paraId="1409C90A" w14:textId="77777777" w:rsidR="005A3DB1" w:rsidRPr="00520C7C" w:rsidRDefault="005A3DB1" w:rsidP="005A3DB1">
      <w:pPr>
        <w:pStyle w:val="EndNoteBibliography"/>
        <w:numPr>
          <w:ilvl w:val="0"/>
          <w:numId w:val="17"/>
        </w:numPr>
        <w:spacing w:after="480"/>
        <w:ind w:left="360"/>
      </w:pPr>
      <w:r w:rsidRPr="00520C7C">
        <w:t xml:space="preserve">Public Health England. </w:t>
      </w:r>
      <w:r w:rsidRPr="00520C7C">
        <w:rPr>
          <w:i/>
        </w:rPr>
        <w:t>Health matters: obesity and the food environment environment.</w:t>
      </w:r>
      <w:r w:rsidRPr="00520C7C">
        <w:t xml:space="preserve"> UK: Public Health </w:t>
      </w:r>
      <w:r w:rsidRPr="00C91ACF">
        <w:t xml:space="preserve">England, 2017. </w:t>
      </w:r>
      <w:hyperlink r:id="rId9" w:history="1">
        <w:r w:rsidRPr="00C91ACF">
          <w:rPr>
            <w:rStyle w:val="Hyperlink"/>
            <w:color w:val="auto"/>
          </w:rPr>
          <w:t>https://www.gov.uk/government/publications/health-matters-obesity-and-the-food-environment/health-matters-obesity-and-the-food-environment--2</w:t>
        </w:r>
      </w:hyperlink>
      <w:r w:rsidRPr="00C91ACF">
        <w:t>. (</w:t>
      </w:r>
      <w:r w:rsidRPr="00520C7C">
        <w:t>Accessed 10 Aug 2018)</w:t>
      </w:r>
    </w:p>
    <w:p w14:paraId="56723F00" w14:textId="77777777" w:rsidR="005A3DB1" w:rsidRPr="00520C7C" w:rsidRDefault="005A3DB1" w:rsidP="005A3DB1">
      <w:pPr>
        <w:pStyle w:val="EndNoteBibliography"/>
        <w:numPr>
          <w:ilvl w:val="0"/>
          <w:numId w:val="17"/>
        </w:numPr>
        <w:spacing w:after="480"/>
        <w:ind w:left="360"/>
      </w:pPr>
      <w:r w:rsidRPr="00520C7C">
        <w:t xml:space="preserve">World Health Organisation. </w:t>
      </w:r>
      <w:r w:rsidRPr="00520C7C">
        <w:rPr>
          <w:i/>
        </w:rPr>
        <w:t>Global status report on noncommunicable diseases 2014</w:t>
      </w:r>
      <w:r w:rsidRPr="00520C7C">
        <w:t xml:space="preserve">. Geneva: World Health Organisation, 2014. </w:t>
      </w:r>
      <w:hyperlink r:id="rId10" w:history="1">
        <w:r w:rsidRPr="00C91ACF">
          <w:rPr>
            <w:rStyle w:val="Hyperlink"/>
            <w:color w:val="auto"/>
          </w:rPr>
          <w:t>https://apps.who.int/iris/bitstream/handle/10665/148114/9789241564854_eng.pdf;jsessionid=A043D0E63AACA67752CC3294A1EBD7A3?sequence=1</w:t>
        </w:r>
      </w:hyperlink>
      <w:r w:rsidRPr="00C91ACF">
        <w:t xml:space="preserve">. </w:t>
      </w:r>
      <w:r w:rsidRPr="00520C7C">
        <w:t>(Accessed 04 Feb 2019)</w:t>
      </w:r>
    </w:p>
    <w:p w14:paraId="77E7CFF1" w14:textId="77777777" w:rsidR="005A3DB1" w:rsidRPr="00520C7C" w:rsidRDefault="005A3DB1" w:rsidP="005A3DB1">
      <w:pPr>
        <w:pStyle w:val="EndNoteBibliography"/>
        <w:numPr>
          <w:ilvl w:val="0"/>
          <w:numId w:val="17"/>
        </w:numPr>
        <w:spacing w:after="480"/>
        <w:ind w:left="360"/>
      </w:pPr>
      <w:r w:rsidRPr="00520C7C">
        <w:t xml:space="preserve">Bambra C, Hillier F, Cairns J, </w:t>
      </w:r>
      <w:r w:rsidRPr="00520C7C">
        <w:rPr>
          <w:i/>
        </w:rPr>
        <w:t>et al</w:t>
      </w:r>
      <w:r w:rsidRPr="00520C7C">
        <w:t xml:space="preserve">. How effective are interventions at reducing socioeconomic inequalities in obesity among children and adults? Two systematic reviews. </w:t>
      </w:r>
      <w:r w:rsidRPr="00520C7C">
        <w:rPr>
          <w:i/>
        </w:rPr>
        <w:t>Public Health Res</w:t>
      </w:r>
      <w:r w:rsidRPr="00520C7C">
        <w:t xml:space="preserve"> 2015;3.</w:t>
      </w:r>
    </w:p>
    <w:p w14:paraId="132154CD" w14:textId="77777777" w:rsidR="005A3DB1" w:rsidRPr="00520C7C" w:rsidRDefault="005A3DB1" w:rsidP="005A3DB1">
      <w:pPr>
        <w:pStyle w:val="EndNoteBibliography"/>
        <w:numPr>
          <w:ilvl w:val="0"/>
          <w:numId w:val="17"/>
        </w:numPr>
        <w:spacing w:after="480"/>
        <w:ind w:left="360"/>
      </w:pPr>
      <w:r w:rsidRPr="00520C7C">
        <w:t xml:space="preserve">Bull ER, Dombrowski SU, McCleary N, </w:t>
      </w:r>
      <w:r w:rsidRPr="00520C7C">
        <w:rPr>
          <w:i/>
        </w:rPr>
        <w:t>et al</w:t>
      </w:r>
      <w:r w:rsidRPr="00520C7C">
        <w:t xml:space="preserve">. Are interventions for low-income groups effective in changing healthy eating, physical activity and smoking behaviours? A systematic review and meta-analysis. </w:t>
      </w:r>
      <w:r w:rsidRPr="00520C7C">
        <w:rPr>
          <w:i/>
        </w:rPr>
        <w:t>BMJ Open</w:t>
      </w:r>
      <w:r w:rsidRPr="00520C7C">
        <w:t>. 2014;4:e006046.</w:t>
      </w:r>
    </w:p>
    <w:p w14:paraId="00BF06E1" w14:textId="77777777" w:rsidR="005A3DB1" w:rsidRPr="00C91ACF" w:rsidRDefault="005A3DB1" w:rsidP="005A3DB1">
      <w:pPr>
        <w:pStyle w:val="EndNoteBibliography"/>
        <w:numPr>
          <w:ilvl w:val="0"/>
          <w:numId w:val="17"/>
        </w:numPr>
        <w:spacing w:after="480"/>
        <w:ind w:left="360"/>
      </w:pPr>
      <w:r w:rsidRPr="00520C7C">
        <w:t xml:space="preserve">Office for National Statistics. </w:t>
      </w:r>
      <w:r w:rsidRPr="00520C7C">
        <w:rPr>
          <w:i/>
        </w:rPr>
        <w:t>Dataset: Regional gross value added (balanced) by comb</w:t>
      </w:r>
      <w:r w:rsidRPr="00C91ACF">
        <w:rPr>
          <w:i/>
        </w:rPr>
        <w:t xml:space="preserve">ined authority in the UK. </w:t>
      </w:r>
      <w:r w:rsidRPr="00C91ACF">
        <w:t xml:space="preserve">UK: Office for National Statistics, 2017. </w:t>
      </w:r>
      <w:hyperlink r:id="rId11" w:history="1">
        <w:r w:rsidRPr="00C91ACF">
          <w:rPr>
            <w:rStyle w:val="Hyperlink"/>
            <w:color w:val="auto"/>
          </w:rPr>
          <w:t>https://www.ons.gov.uk/economy/grossvalueaddedgva/datasets/regionalgrossvalueaddedbalancedbycombinedauthorityintheuk</w:t>
        </w:r>
      </w:hyperlink>
      <w:r w:rsidRPr="00C91ACF">
        <w:t>. (Accessed 10 Aug 2018)</w:t>
      </w:r>
    </w:p>
    <w:p w14:paraId="3B77A760" w14:textId="77777777" w:rsidR="005A3DB1" w:rsidRPr="00520C7C" w:rsidRDefault="005A3DB1" w:rsidP="005A3DB1">
      <w:pPr>
        <w:pStyle w:val="EndNoteBibliography"/>
        <w:numPr>
          <w:ilvl w:val="0"/>
          <w:numId w:val="17"/>
        </w:numPr>
        <w:spacing w:after="480"/>
        <w:ind w:left="360"/>
      </w:pPr>
      <w:r w:rsidRPr="00C91ACF">
        <w:t xml:space="preserve">Public Health England. </w:t>
      </w:r>
      <w:r w:rsidRPr="00C91ACF">
        <w:rPr>
          <w:i/>
        </w:rPr>
        <w:t>Work, worklessness and health: local infographic tool</w:t>
      </w:r>
      <w:r w:rsidRPr="00C91ACF">
        <w:t xml:space="preserve">. UK: Public Health England, 2018. </w:t>
      </w:r>
      <w:hyperlink r:id="rId12" w:history="1">
        <w:r w:rsidRPr="00C91ACF">
          <w:rPr>
            <w:rStyle w:val="Hyperlink"/>
            <w:color w:val="auto"/>
          </w:rPr>
          <w:t>https://www.gov.uk/government/publications/work-worklessness-and-health-local-infographic-tool</w:t>
        </w:r>
      </w:hyperlink>
      <w:r w:rsidRPr="00520C7C">
        <w:t>. (Accessed 10 Aug 2018)</w:t>
      </w:r>
    </w:p>
    <w:p w14:paraId="785CEC35" w14:textId="77777777" w:rsidR="005A3DB1" w:rsidRPr="00520C7C" w:rsidRDefault="005A3DB1" w:rsidP="005A3DB1">
      <w:pPr>
        <w:pStyle w:val="EndNoteBibliography"/>
        <w:numPr>
          <w:ilvl w:val="0"/>
          <w:numId w:val="17"/>
        </w:numPr>
        <w:spacing w:after="480"/>
        <w:ind w:left="360"/>
      </w:pPr>
      <w:r w:rsidRPr="00520C7C">
        <w:t xml:space="preserve">Northumberland County Council. </w:t>
      </w:r>
      <w:r w:rsidRPr="00520C7C">
        <w:rPr>
          <w:i/>
        </w:rPr>
        <w:t xml:space="preserve">Public Health Service Statement 2017/18. </w:t>
      </w:r>
      <w:r w:rsidRPr="00520C7C">
        <w:t xml:space="preserve"> Northumberland: Northumberland County Council, 2017.  </w:t>
      </w:r>
      <w:hyperlink r:id="rId13" w:history="1">
        <w:r w:rsidRPr="00C91ACF">
          <w:rPr>
            <w:rStyle w:val="Hyperlink"/>
            <w:color w:val="auto"/>
          </w:rPr>
          <w:t>https://northumberland.gov.uk/NorthumberlandCountyCouncil/media/About-the-Council/Performance/Service%20Statements%202016/2017-Public-Health-Service-Statement-2017-18.pdf</w:t>
        </w:r>
      </w:hyperlink>
      <w:r w:rsidRPr="00C91ACF">
        <w:rPr>
          <w:rStyle w:val="Hyperlink"/>
          <w:color w:val="auto"/>
        </w:rPr>
        <w:t xml:space="preserve">. </w:t>
      </w:r>
      <w:r w:rsidRPr="00520C7C">
        <w:t>(Accessed 10 Aug 2018)</w:t>
      </w:r>
    </w:p>
    <w:p w14:paraId="1FDEACDC" w14:textId="77777777" w:rsidR="005A3DB1" w:rsidRPr="00520C7C" w:rsidRDefault="005A3DB1" w:rsidP="005A3DB1">
      <w:pPr>
        <w:pStyle w:val="EndNoteBibliography"/>
        <w:numPr>
          <w:ilvl w:val="0"/>
          <w:numId w:val="17"/>
        </w:numPr>
        <w:spacing w:after="480"/>
        <w:ind w:left="360"/>
      </w:pPr>
      <w:r w:rsidRPr="00C91ACF">
        <w:rPr>
          <w:rStyle w:val="Hyperlink"/>
          <w:color w:val="auto"/>
        </w:rPr>
        <w:t xml:space="preserve">Public Health England. </w:t>
      </w:r>
      <w:r w:rsidRPr="00C91ACF">
        <w:rPr>
          <w:rStyle w:val="Hyperlink"/>
          <w:i/>
          <w:color w:val="auto"/>
        </w:rPr>
        <w:t>Local Authority Health Profiles</w:t>
      </w:r>
      <w:r w:rsidRPr="00C91ACF">
        <w:rPr>
          <w:rStyle w:val="Hyperlink"/>
          <w:color w:val="auto"/>
        </w:rPr>
        <w:t xml:space="preserve">. UK: Public Health England, 2019. </w:t>
      </w:r>
      <w:hyperlink r:id="rId14" w:anchor="page/0/gid/1938132701/pat/6/par/E12000001/ati/102/are/E06000057/iid/10101/age/169/sex/4" w:history="1">
        <w:r w:rsidRPr="00C91ACF">
          <w:rPr>
            <w:rStyle w:val="Hyperlink"/>
            <w:color w:val="auto"/>
          </w:rPr>
          <w:t>https://fingertips.phe.org.uk/profile/health-profiles/data#page/0/gid/1938132701/pat/6/par/E12000001/ati/102/are/E06000057/iid/10101/age/169/sex/4</w:t>
        </w:r>
      </w:hyperlink>
      <w:r w:rsidRPr="00C91ACF">
        <w:rPr>
          <w:rStyle w:val="Hyperlink"/>
          <w:color w:val="auto"/>
        </w:rPr>
        <w:t>.</w:t>
      </w:r>
      <w:r w:rsidRPr="00C91ACF">
        <w:t xml:space="preserve"> </w:t>
      </w:r>
      <w:r w:rsidRPr="00520C7C">
        <w:t>(Accessed 01 Feb 2019)</w:t>
      </w:r>
    </w:p>
    <w:p w14:paraId="3C9A3449" w14:textId="77777777" w:rsidR="005A3DB1" w:rsidRPr="00520C7C" w:rsidRDefault="005A3DB1" w:rsidP="005A3DB1">
      <w:pPr>
        <w:pStyle w:val="EndNoteBibliography"/>
        <w:numPr>
          <w:ilvl w:val="0"/>
          <w:numId w:val="17"/>
        </w:numPr>
        <w:spacing w:after="480"/>
        <w:ind w:left="360"/>
      </w:pPr>
      <w:r w:rsidRPr="00520C7C">
        <w:t xml:space="preserve">Lister C, Payne H, Hanson CL, </w:t>
      </w:r>
      <w:r w:rsidRPr="00520C7C">
        <w:rPr>
          <w:i/>
        </w:rPr>
        <w:t>et al</w:t>
      </w:r>
      <w:r w:rsidRPr="00520C7C">
        <w:t xml:space="preserve">. The Public Health Innovation Model: Merging Private Sector Processes with Public Health Strengths. </w:t>
      </w:r>
      <w:r w:rsidRPr="00520C7C">
        <w:rPr>
          <w:i/>
        </w:rPr>
        <w:t>Front Public Health</w:t>
      </w:r>
      <w:r w:rsidRPr="00520C7C">
        <w:t xml:space="preserve"> 2017;5:192.</w:t>
      </w:r>
    </w:p>
    <w:p w14:paraId="02D4AF7D" w14:textId="77777777" w:rsidR="005A3DB1" w:rsidRPr="00520C7C" w:rsidRDefault="005A3DB1" w:rsidP="005A3DB1">
      <w:pPr>
        <w:pStyle w:val="EndNoteBibliography"/>
        <w:numPr>
          <w:ilvl w:val="0"/>
          <w:numId w:val="17"/>
        </w:numPr>
        <w:spacing w:after="480"/>
        <w:ind w:left="360"/>
      </w:pPr>
      <w:r w:rsidRPr="00520C7C">
        <w:t xml:space="preserve">Parry GJ, Carson-Stevens A, Luff DF, </w:t>
      </w:r>
      <w:r w:rsidRPr="00520C7C">
        <w:rPr>
          <w:i/>
        </w:rPr>
        <w:t>et al</w:t>
      </w:r>
      <w:r w:rsidRPr="00520C7C">
        <w:t xml:space="preserve">. Recommendations for evaluation of health care improvement initiatives. </w:t>
      </w:r>
      <w:r w:rsidRPr="00520C7C">
        <w:rPr>
          <w:i/>
        </w:rPr>
        <w:t>Acad Pediatr</w:t>
      </w:r>
      <w:r w:rsidRPr="00520C7C">
        <w:t xml:space="preserve"> 2013 Nov-Dec;13(6 Suppl):S23-30.</w:t>
      </w:r>
    </w:p>
    <w:p w14:paraId="345CEF28" w14:textId="77777777" w:rsidR="005A3DB1" w:rsidRPr="00520C7C" w:rsidRDefault="005A3DB1" w:rsidP="005A3DB1">
      <w:pPr>
        <w:pStyle w:val="EndNoteBibliography"/>
        <w:numPr>
          <w:ilvl w:val="0"/>
          <w:numId w:val="17"/>
        </w:numPr>
        <w:spacing w:after="480"/>
        <w:ind w:left="360"/>
      </w:pPr>
      <w:r w:rsidRPr="00520C7C">
        <w:t xml:space="preserve">Hawkins J, Madden K, Fletcher A, </w:t>
      </w:r>
      <w:r w:rsidRPr="00520C7C">
        <w:rPr>
          <w:i/>
        </w:rPr>
        <w:t>et al</w:t>
      </w:r>
      <w:r w:rsidRPr="00520C7C">
        <w:t xml:space="preserve">. Development of a framework for the co-production and prototyping of public health interventions. </w:t>
      </w:r>
      <w:r w:rsidRPr="00520C7C">
        <w:rPr>
          <w:i/>
        </w:rPr>
        <w:t>BMC Public Health</w:t>
      </w:r>
      <w:r w:rsidRPr="00520C7C">
        <w:t xml:space="preserve"> 2017;17:689.</w:t>
      </w:r>
    </w:p>
    <w:p w14:paraId="6C4F9378" w14:textId="77777777" w:rsidR="005A3DB1" w:rsidRPr="00520C7C" w:rsidRDefault="005A3DB1" w:rsidP="005A3DB1">
      <w:pPr>
        <w:pStyle w:val="EndNoteBibliography"/>
        <w:numPr>
          <w:ilvl w:val="0"/>
          <w:numId w:val="17"/>
        </w:numPr>
        <w:spacing w:after="480"/>
        <w:ind w:left="360"/>
      </w:pPr>
      <w:r w:rsidRPr="00520C7C">
        <w:t xml:space="preserve">Stevens VJ, Funk KL, Brantley PJ, </w:t>
      </w:r>
      <w:r w:rsidRPr="00520C7C">
        <w:rPr>
          <w:i/>
        </w:rPr>
        <w:t>et al</w:t>
      </w:r>
      <w:r w:rsidRPr="00520C7C">
        <w:t xml:space="preserve">. Design and implementation of an interactive website to support long-term maintenance of weight loss. </w:t>
      </w:r>
      <w:r w:rsidRPr="00520C7C">
        <w:rPr>
          <w:i/>
        </w:rPr>
        <w:t>J Med Internet Res</w:t>
      </w:r>
      <w:r w:rsidRPr="00520C7C">
        <w:t xml:space="preserve"> 2008;10(1):e1.</w:t>
      </w:r>
    </w:p>
    <w:p w14:paraId="43D94D71" w14:textId="77777777" w:rsidR="005A3DB1" w:rsidRPr="00520C7C" w:rsidRDefault="005A3DB1" w:rsidP="005A3DB1">
      <w:pPr>
        <w:pStyle w:val="EndNoteBibliography"/>
        <w:numPr>
          <w:ilvl w:val="0"/>
          <w:numId w:val="17"/>
        </w:numPr>
        <w:spacing w:after="480"/>
        <w:ind w:left="360"/>
      </w:pPr>
      <w:r w:rsidRPr="00520C7C">
        <w:t xml:space="preserve">Discover Momenta Ltd. </w:t>
      </w:r>
      <w:r w:rsidRPr="00520C7C">
        <w:rPr>
          <w:i/>
        </w:rPr>
        <w:t>Momenta.</w:t>
      </w:r>
      <w:r w:rsidRPr="00520C7C">
        <w:t xml:space="preserve"> UK: Discover Momenta Ltd, 2013: </w:t>
      </w:r>
      <w:hyperlink r:id="rId15" w:history="1">
        <w:r w:rsidRPr="00C91ACF">
          <w:rPr>
            <w:rStyle w:val="Hyperlink"/>
            <w:color w:val="auto"/>
          </w:rPr>
          <w:t>http://discovermomenta.com/</w:t>
        </w:r>
      </w:hyperlink>
      <w:r w:rsidRPr="00C91ACF">
        <w:t xml:space="preserve">. </w:t>
      </w:r>
      <w:r w:rsidRPr="00520C7C">
        <w:t>(Accessed 10 Aug 2018)</w:t>
      </w:r>
    </w:p>
    <w:p w14:paraId="027CC2CB" w14:textId="77777777" w:rsidR="005A3DB1" w:rsidRPr="00520C7C" w:rsidRDefault="005A3DB1" w:rsidP="005A3DB1">
      <w:pPr>
        <w:pStyle w:val="EndNoteBibliography"/>
        <w:numPr>
          <w:ilvl w:val="0"/>
          <w:numId w:val="17"/>
        </w:numPr>
        <w:spacing w:after="480"/>
        <w:ind w:left="360"/>
      </w:pPr>
      <w:r w:rsidRPr="00520C7C">
        <w:t xml:space="preserve">Hanson CL. </w:t>
      </w:r>
      <w:r w:rsidRPr="00520C7C">
        <w:rPr>
          <w:i/>
        </w:rPr>
        <w:t>Advancing understanding of effective exercise on referral: a mixed methods evaluation of the Northumberland scheme</w:t>
      </w:r>
      <w:r w:rsidRPr="00520C7C">
        <w:t xml:space="preserve">. PhD Thesis, Durham University, 2017. </w:t>
      </w:r>
      <w:hyperlink r:id="rId16" w:history="1">
        <w:r w:rsidRPr="00C91ACF">
          <w:rPr>
            <w:rStyle w:val="Hyperlink"/>
            <w:color w:val="auto"/>
          </w:rPr>
          <w:t>http://etheses.dur.ac.uk/12162/</w:t>
        </w:r>
      </w:hyperlink>
      <w:r w:rsidRPr="00C91ACF">
        <w:t xml:space="preserve">. </w:t>
      </w:r>
      <w:r w:rsidRPr="00520C7C">
        <w:t>(Accessed 10 Aug 2018)</w:t>
      </w:r>
    </w:p>
    <w:p w14:paraId="074997F4" w14:textId="77777777" w:rsidR="005A3DB1" w:rsidRPr="00520C7C" w:rsidRDefault="005A3DB1" w:rsidP="005A3DB1">
      <w:pPr>
        <w:pStyle w:val="EndNoteBibliography"/>
        <w:numPr>
          <w:ilvl w:val="0"/>
          <w:numId w:val="17"/>
        </w:numPr>
        <w:spacing w:after="480"/>
        <w:ind w:left="360"/>
      </w:pPr>
      <w:r w:rsidRPr="00520C7C">
        <w:t xml:space="preserve">Hanson CL, Allin LJ, Ellis JG, </w:t>
      </w:r>
      <w:r w:rsidRPr="00520C7C">
        <w:rPr>
          <w:i/>
        </w:rPr>
        <w:t>et al</w:t>
      </w:r>
      <w:r w:rsidRPr="00520C7C">
        <w:t xml:space="preserve">. An evaluation of the efficacy of the exercise on referral scheme in Northumberland, UK: association with physical activity and predictors of engagement. A naturalistic observation study. </w:t>
      </w:r>
      <w:r w:rsidRPr="00520C7C">
        <w:rPr>
          <w:i/>
        </w:rPr>
        <w:t xml:space="preserve">BMJ Open </w:t>
      </w:r>
      <w:r w:rsidRPr="00520C7C">
        <w:t xml:space="preserve">2013;3:e002849 </w:t>
      </w:r>
    </w:p>
    <w:p w14:paraId="2D571395" w14:textId="77777777" w:rsidR="005A3DB1" w:rsidRPr="00520C7C" w:rsidRDefault="005A3DB1" w:rsidP="005A3DB1">
      <w:pPr>
        <w:pStyle w:val="EndNoteBibliography"/>
        <w:numPr>
          <w:ilvl w:val="0"/>
          <w:numId w:val="17"/>
        </w:numPr>
        <w:spacing w:after="480"/>
        <w:ind w:left="360"/>
      </w:pPr>
      <w:r w:rsidRPr="00520C7C">
        <w:t xml:space="preserve">Sacher PM, Kolotourou M, Chadwick PM, </w:t>
      </w:r>
      <w:r w:rsidRPr="00520C7C">
        <w:rPr>
          <w:i/>
        </w:rPr>
        <w:t>et al</w:t>
      </w:r>
      <w:r w:rsidRPr="00520C7C">
        <w:t xml:space="preserve">. Randomized Controlled Trial of the MEND Program: A Family-based Community Intervention for Childhood Obesity. </w:t>
      </w:r>
      <w:r w:rsidRPr="00520C7C">
        <w:rPr>
          <w:i/>
        </w:rPr>
        <w:t>Obes</w:t>
      </w:r>
      <w:r w:rsidRPr="00520C7C">
        <w:t xml:space="preserve"> 2012;18:S62-S8.</w:t>
      </w:r>
    </w:p>
    <w:p w14:paraId="0096FE7C" w14:textId="77777777" w:rsidR="005A3DB1" w:rsidRPr="00520C7C" w:rsidRDefault="005A3DB1" w:rsidP="005A3DB1">
      <w:pPr>
        <w:pStyle w:val="EndNoteBibliography"/>
        <w:numPr>
          <w:ilvl w:val="0"/>
          <w:numId w:val="17"/>
        </w:numPr>
        <w:spacing w:after="480"/>
        <w:ind w:left="360"/>
      </w:pPr>
      <w:r w:rsidRPr="00520C7C">
        <w:t xml:space="preserve">Leech N, Onwuegbuzie A. A typology of mixed methods research designs. </w:t>
      </w:r>
      <w:r w:rsidRPr="00520C7C">
        <w:rPr>
          <w:i/>
        </w:rPr>
        <w:t>Qual Quant</w:t>
      </w:r>
      <w:r w:rsidRPr="00520C7C">
        <w:t xml:space="preserve"> 2009;43:265-75.</w:t>
      </w:r>
    </w:p>
    <w:p w14:paraId="3BAD8A97" w14:textId="77777777" w:rsidR="005A3DB1" w:rsidRDefault="005A3DB1" w:rsidP="005A3DB1">
      <w:pPr>
        <w:pStyle w:val="EndNoteBibliography"/>
        <w:numPr>
          <w:ilvl w:val="0"/>
          <w:numId w:val="17"/>
        </w:numPr>
        <w:spacing w:after="480"/>
        <w:ind w:left="360"/>
      </w:pPr>
      <w:r w:rsidRPr="00520C7C">
        <w:t xml:space="preserve">Marfell-Jones M, Olds T, Stewart A, </w:t>
      </w:r>
      <w:r w:rsidRPr="00520C7C">
        <w:rPr>
          <w:i/>
        </w:rPr>
        <w:t>et al</w:t>
      </w:r>
      <w:r w:rsidRPr="00520C7C">
        <w:t xml:space="preserve">. </w:t>
      </w:r>
      <w:r w:rsidRPr="00520C7C">
        <w:rPr>
          <w:i/>
        </w:rPr>
        <w:t>International Standards for Anthropometric Assessment (2007)</w:t>
      </w:r>
      <w:r w:rsidRPr="00520C7C">
        <w:t>. Potchefstroom, South Africa: International Society for the Advancement of Kinathropometry, 2007.</w:t>
      </w:r>
    </w:p>
    <w:p w14:paraId="29DBB654" w14:textId="2D87325F" w:rsidR="005A3DB1" w:rsidRPr="00520C7C" w:rsidRDefault="005A3DB1" w:rsidP="005A3DB1">
      <w:pPr>
        <w:pStyle w:val="EndNoteBibliography"/>
        <w:numPr>
          <w:ilvl w:val="0"/>
          <w:numId w:val="17"/>
        </w:numPr>
        <w:spacing w:after="480"/>
        <w:ind w:left="360"/>
      </w:pPr>
      <w:r w:rsidRPr="00C91ACF">
        <w:t>Tong A, Sainsbury P, Craig J. Consolidated criteria for reporting qualitative research (COREQ): a 32-item checklist for interviews and focus groups. Int J Qu</w:t>
      </w:r>
      <w:r>
        <w:t xml:space="preserve">al. Health Care 2007;19:349–57 </w:t>
      </w:r>
    </w:p>
    <w:p w14:paraId="6CEE7DB8" w14:textId="77777777" w:rsidR="005A3DB1" w:rsidRPr="00520C7C" w:rsidRDefault="005A3DB1" w:rsidP="005A3DB1">
      <w:pPr>
        <w:pStyle w:val="EndNoteBibliography"/>
        <w:numPr>
          <w:ilvl w:val="0"/>
          <w:numId w:val="17"/>
        </w:numPr>
        <w:spacing w:after="480"/>
        <w:ind w:left="360"/>
      </w:pPr>
      <w:r w:rsidRPr="00520C7C">
        <w:t xml:space="preserve">World Health Organisation. </w:t>
      </w:r>
      <w:r w:rsidRPr="00520C7C">
        <w:rPr>
          <w:i/>
        </w:rPr>
        <w:t xml:space="preserve">BMI Classification 2006. </w:t>
      </w:r>
      <w:r w:rsidRPr="00520C7C">
        <w:t xml:space="preserve">Geneva: World Health Organisation, </w:t>
      </w:r>
      <w:r w:rsidRPr="00C91ACF">
        <w:t xml:space="preserve">2006. </w:t>
      </w:r>
      <w:hyperlink r:id="rId17" w:history="1">
        <w:r w:rsidRPr="00C91ACF">
          <w:rPr>
            <w:rStyle w:val="Hyperlink"/>
            <w:color w:val="auto"/>
          </w:rPr>
          <w:t>http://apps.who.int/bmi/index.jsp?introPage=intro_3.html</w:t>
        </w:r>
      </w:hyperlink>
      <w:r w:rsidRPr="00C91ACF">
        <w:t xml:space="preserve">. (Accessed </w:t>
      </w:r>
      <w:r w:rsidRPr="00520C7C">
        <w:t>10 Aug 2018)</w:t>
      </w:r>
    </w:p>
    <w:p w14:paraId="1459E772" w14:textId="77777777" w:rsidR="005A3DB1" w:rsidRPr="00520C7C" w:rsidRDefault="005A3DB1" w:rsidP="005A3DB1">
      <w:pPr>
        <w:pStyle w:val="EndNoteBibliography"/>
        <w:numPr>
          <w:ilvl w:val="0"/>
          <w:numId w:val="17"/>
        </w:numPr>
        <w:spacing w:after="480"/>
        <w:ind w:left="360"/>
      </w:pPr>
      <w:r w:rsidRPr="00520C7C">
        <w:t xml:space="preserve">Clarke A, Friede T, Putz R, </w:t>
      </w:r>
      <w:r w:rsidRPr="00520C7C">
        <w:rPr>
          <w:i/>
        </w:rPr>
        <w:t>et al</w:t>
      </w:r>
      <w:r w:rsidRPr="00520C7C">
        <w:t xml:space="preserve">. Warwick-Edinburgh Mental Well-being Scale (WEMWBS): Validated for teenage school students in England and Scotland. A mixed methods assessment. </w:t>
      </w:r>
      <w:r w:rsidRPr="00520C7C">
        <w:rPr>
          <w:i/>
        </w:rPr>
        <w:t>BMC Public Health</w:t>
      </w:r>
      <w:r w:rsidRPr="00520C7C">
        <w:t xml:space="preserve"> 2011;11:487.</w:t>
      </w:r>
    </w:p>
    <w:p w14:paraId="5810AD98" w14:textId="77777777" w:rsidR="005A3DB1" w:rsidRPr="00520C7C" w:rsidRDefault="005A3DB1" w:rsidP="005A3DB1">
      <w:pPr>
        <w:pStyle w:val="EndNoteBibliography"/>
        <w:numPr>
          <w:ilvl w:val="0"/>
          <w:numId w:val="17"/>
        </w:numPr>
        <w:spacing w:after="480"/>
        <w:ind w:left="360"/>
      </w:pPr>
      <w:r w:rsidRPr="00520C7C">
        <w:t xml:space="preserve">Zigmond AS, Snaith RP. The Hospital Anxiety and Depression Scale. </w:t>
      </w:r>
      <w:r w:rsidRPr="00520C7C">
        <w:rPr>
          <w:i/>
        </w:rPr>
        <w:t>Acta Psychiatr Scand</w:t>
      </w:r>
      <w:r w:rsidRPr="00520C7C">
        <w:t xml:space="preserve"> 1983;67:361-70.</w:t>
      </w:r>
    </w:p>
    <w:p w14:paraId="12E08E5E" w14:textId="77777777" w:rsidR="005A3DB1" w:rsidRPr="00E91F5B" w:rsidRDefault="005A3DB1" w:rsidP="005A3DB1">
      <w:pPr>
        <w:pStyle w:val="EndNoteBibliography"/>
        <w:numPr>
          <w:ilvl w:val="0"/>
          <w:numId w:val="17"/>
        </w:numPr>
        <w:spacing w:after="480"/>
        <w:ind w:left="360"/>
      </w:pPr>
      <w:r w:rsidRPr="00520C7C">
        <w:t xml:space="preserve">Braun V, Clarke V. Using thematic analysis in psychology. </w:t>
      </w:r>
      <w:r w:rsidRPr="00520C7C">
        <w:rPr>
          <w:i/>
        </w:rPr>
        <w:t>Qual Res Psychol</w:t>
      </w:r>
      <w:r w:rsidRPr="00520C7C">
        <w:t xml:space="preserve"> 2006;3:77-101.</w:t>
      </w:r>
    </w:p>
    <w:p w14:paraId="4BC26013" w14:textId="77777777" w:rsidR="005A3DB1" w:rsidRDefault="005A3DB1" w:rsidP="005A3DB1">
      <w:pPr>
        <w:pStyle w:val="EndNoteBibliography"/>
        <w:numPr>
          <w:ilvl w:val="0"/>
          <w:numId w:val="17"/>
        </w:numPr>
        <w:spacing w:after="480"/>
        <w:ind w:left="360"/>
      </w:pPr>
      <w:r w:rsidRPr="00520C7C">
        <w:t xml:space="preserve">Flodgren G, Goncalves BDC, Summerbell CD. Interventions to change the behaviour of health professionals and the organisation of care to promote weight reduction in children and adults with overweight or obesity. </w:t>
      </w:r>
      <w:r w:rsidRPr="00C91ACF">
        <w:rPr>
          <w:i/>
        </w:rPr>
        <w:t>Cochrane Database of Syst Rev</w:t>
      </w:r>
      <w:r w:rsidRPr="00520C7C">
        <w:t xml:space="preserve"> 2017;11:CD000984.</w:t>
      </w:r>
    </w:p>
    <w:p w14:paraId="7AEC8E05" w14:textId="77777777" w:rsidR="005A3DB1" w:rsidRDefault="005A3DB1" w:rsidP="005A3DB1">
      <w:pPr>
        <w:pStyle w:val="EndNoteBibliography"/>
        <w:numPr>
          <w:ilvl w:val="0"/>
          <w:numId w:val="17"/>
        </w:numPr>
        <w:spacing w:after="480"/>
        <w:ind w:left="360"/>
      </w:pPr>
      <w:r w:rsidRPr="00520C7C">
        <w:t xml:space="preserve">Phelan SM, Burgess DJ, Yeazel MW, </w:t>
      </w:r>
      <w:r w:rsidRPr="00C91ACF">
        <w:rPr>
          <w:i/>
        </w:rPr>
        <w:t>et al</w:t>
      </w:r>
      <w:r w:rsidRPr="00520C7C">
        <w:t xml:space="preserve">. Impact of weight bias and stigma on quality of care and outcomes for patients with obesity. </w:t>
      </w:r>
      <w:r w:rsidRPr="00C91ACF">
        <w:rPr>
          <w:i/>
        </w:rPr>
        <w:t>Obes Rev</w:t>
      </w:r>
      <w:r w:rsidRPr="00520C7C">
        <w:t xml:space="preserve"> 2015;16:319-26.</w:t>
      </w:r>
    </w:p>
    <w:p w14:paraId="60113CD7" w14:textId="77777777" w:rsidR="005A3DB1" w:rsidRDefault="005A3DB1" w:rsidP="005A3DB1">
      <w:pPr>
        <w:pStyle w:val="EndNoteBibliography"/>
        <w:numPr>
          <w:ilvl w:val="0"/>
          <w:numId w:val="17"/>
        </w:numPr>
        <w:spacing w:after="480"/>
        <w:ind w:left="360"/>
      </w:pPr>
      <w:r w:rsidRPr="00520C7C">
        <w:t xml:space="preserve">Logue J, Allardice G, Gillies M, </w:t>
      </w:r>
      <w:r w:rsidRPr="00C91ACF">
        <w:rPr>
          <w:i/>
        </w:rPr>
        <w:t>et al</w:t>
      </w:r>
      <w:r w:rsidRPr="00520C7C">
        <w:t xml:space="preserve">. Outcomes of a specialist weight management programme in the UK National Health Service: prospective study of 1838 patients. </w:t>
      </w:r>
      <w:r w:rsidRPr="00C91ACF">
        <w:rPr>
          <w:i/>
        </w:rPr>
        <w:t>BMJ Open</w:t>
      </w:r>
      <w:r w:rsidRPr="00520C7C">
        <w:t xml:space="preserve"> 2014;4:e003747.</w:t>
      </w:r>
    </w:p>
    <w:p w14:paraId="1057FB05" w14:textId="77777777" w:rsidR="005A3DB1" w:rsidRDefault="005A3DB1" w:rsidP="005A3DB1">
      <w:pPr>
        <w:pStyle w:val="EndNoteBibliography"/>
        <w:numPr>
          <w:ilvl w:val="0"/>
          <w:numId w:val="17"/>
        </w:numPr>
        <w:spacing w:after="480"/>
        <w:ind w:left="360"/>
      </w:pPr>
      <w:r w:rsidRPr="00520C7C">
        <w:t xml:space="preserve">Lebrun LA, Chowdhury J, Sripipatana A, </w:t>
      </w:r>
      <w:r w:rsidRPr="00C91ACF">
        <w:rPr>
          <w:i/>
        </w:rPr>
        <w:t>et al</w:t>
      </w:r>
      <w:r w:rsidRPr="00520C7C">
        <w:t xml:space="preserve">. Overweight/obesity and weight-related treatment among patients in U.S. federally supported health centers. </w:t>
      </w:r>
      <w:r w:rsidRPr="00C91ACF">
        <w:rPr>
          <w:i/>
        </w:rPr>
        <w:t>Obes Res Clin Pract</w:t>
      </w:r>
      <w:r w:rsidRPr="00520C7C">
        <w:t xml:space="preserve"> 2013;7:e377-e90.</w:t>
      </w:r>
    </w:p>
    <w:p w14:paraId="1A45AC69" w14:textId="77777777" w:rsidR="005A3DB1" w:rsidRDefault="005A3DB1" w:rsidP="005A3DB1">
      <w:pPr>
        <w:pStyle w:val="EndNoteBibliography"/>
        <w:numPr>
          <w:ilvl w:val="0"/>
          <w:numId w:val="17"/>
        </w:numPr>
        <w:spacing w:after="480"/>
        <w:ind w:left="360"/>
      </w:pPr>
      <w:r w:rsidRPr="00520C7C">
        <w:t xml:space="preserve">Ahern AL, Aveyard P, Boyland EJ, </w:t>
      </w:r>
      <w:r w:rsidRPr="00C91ACF">
        <w:rPr>
          <w:i/>
        </w:rPr>
        <w:t>et al</w:t>
      </w:r>
      <w:r w:rsidRPr="00520C7C">
        <w:t xml:space="preserve">. Inequalities in the uptake of weight management interventions in a pragmatic trial: an observational study in primary care. </w:t>
      </w:r>
      <w:r w:rsidRPr="00C91ACF">
        <w:rPr>
          <w:i/>
        </w:rPr>
        <w:t>Br J Gen Pract</w:t>
      </w:r>
      <w:r w:rsidRPr="00520C7C">
        <w:t xml:space="preserve"> 2016;66(645):e258-63.</w:t>
      </w:r>
    </w:p>
    <w:p w14:paraId="7DF3F775" w14:textId="77777777" w:rsidR="005A3DB1" w:rsidRDefault="005A3DB1" w:rsidP="005A3DB1">
      <w:pPr>
        <w:pStyle w:val="EndNoteBibliography"/>
        <w:numPr>
          <w:ilvl w:val="0"/>
          <w:numId w:val="17"/>
        </w:numPr>
        <w:spacing w:after="480"/>
        <w:ind w:left="360"/>
      </w:pPr>
      <w:r w:rsidRPr="00520C7C">
        <w:t xml:space="preserve">Adams J, Mytton O, White M, </w:t>
      </w:r>
      <w:r w:rsidRPr="00C91ACF">
        <w:rPr>
          <w:i/>
        </w:rPr>
        <w:t>et al</w:t>
      </w:r>
      <w:r w:rsidRPr="00520C7C">
        <w:t xml:space="preserve">. Why Are Some Population Interventions for Diet and Obesity More Equitable and Effective Than Others? The Role of Individual Agency. </w:t>
      </w:r>
      <w:r w:rsidRPr="00C91ACF">
        <w:rPr>
          <w:i/>
        </w:rPr>
        <w:t>PLoS Med</w:t>
      </w:r>
      <w:r w:rsidRPr="00520C7C">
        <w:t xml:space="preserve"> 2016;13(4).</w:t>
      </w:r>
    </w:p>
    <w:p w14:paraId="13693001" w14:textId="77777777" w:rsidR="005A3DB1" w:rsidRDefault="005A3DB1" w:rsidP="005A3DB1">
      <w:pPr>
        <w:pStyle w:val="EndNoteBibliography"/>
        <w:numPr>
          <w:ilvl w:val="0"/>
          <w:numId w:val="17"/>
        </w:numPr>
        <w:spacing w:after="480"/>
        <w:ind w:left="360"/>
      </w:pPr>
      <w:r w:rsidRPr="00520C7C">
        <w:t xml:space="preserve">Mastellos N, Gunn LH, Felix LM, </w:t>
      </w:r>
      <w:r w:rsidRPr="00C91ACF">
        <w:rPr>
          <w:i/>
        </w:rPr>
        <w:t>et al</w:t>
      </w:r>
      <w:r w:rsidRPr="00520C7C">
        <w:t xml:space="preserve">. Transtheoretical model stages of change for dietary and physical exercise modification in weight loss management for overweight and obese adults. </w:t>
      </w:r>
      <w:r w:rsidRPr="00C91ACF">
        <w:rPr>
          <w:i/>
        </w:rPr>
        <w:t>Cochrane Database Syst Rev</w:t>
      </w:r>
      <w:r w:rsidRPr="00520C7C">
        <w:t xml:space="preserve"> 2014;2:CD008066 </w:t>
      </w:r>
    </w:p>
    <w:p w14:paraId="45634A70" w14:textId="77777777" w:rsidR="005A3DB1" w:rsidRDefault="005A3DB1" w:rsidP="005A3DB1">
      <w:pPr>
        <w:pStyle w:val="EndNoteBibliography"/>
        <w:numPr>
          <w:ilvl w:val="0"/>
          <w:numId w:val="17"/>
        </w:numPr>
        <w:spacing w:after="480"/>
        <w:ind w:left="360"/>
      </w:pPr>
      <w:r w:rsidRPr="00520C7C">
        <w:t xml:space="preserve">Garrow JS, Summerbell CD. Meta-analysis: effect of exercise, with or without dieting, on the body composition of overweight subjects. </w:t>
      </w:r>
      <w:r w:rsidRPr="00E91F5B">
        <w:rPr>
          <w:i/>
        </w:rPr>
        <w:t>Eur J Clin Nutr</w:t>
      </w:r>
      <w:r w:rsidRPr="00520C7C">
        <w:t xml:space="preserve"> 1995;49:1-10.</w:t>
      </w:r>
    </w:p>
    <w:p w14:paraId="5AE990CE" w14:textId="6913F377" w:rsidR="005A3DB1" w:rsidRDefault="005A3DB1" w:rsidP="005A3DB1">
      <w:pPr>
        <w:pStyle w:val="EndNoteBibliography"/>
        <w:numPr>
          <w:ilvl w:val="0"/>
          <w:numId w:val="17"/>
        </w:numPr>
        <w:spacing w:after="480"/>
        <w:ind w:left="360"/>
      </w:pPr>
      <w:r w:rsidRPr="00E91F5B">
        <w:t>Puhan MA, Frey M, Buchi S et al. The minimal important difference of the hospital anxiety and depression scale in patients with chronic obstructive pulmonary disease. Health and Quality of Life Outcomes 2008;6:46:10.1186/1477-7525-6-46</w:t>
      </w:r>
    </w:p>
    <w:p w14:paraId="4D65266C" w14:textId="77777777" w:rsidR="005A3DB1" w:rsidRDefault="005A3DB1" w:rsidP="005A3DB1">
      <w:pPr>
        <w:pStyle w:val="EndNoteBibliography"/>
        <w:numPr>
          <w:ilvl w:val="0"/>
          <w:numId w:val="17"/>
        </w:numPr>
        <w:spacing w:after="480"/>
        <w:ind w:left="360"/>
      </w:pPr>
      <w:r w:rsidRPr="00520C7C">
        <w:t xml:space="preserve">Wright F, Boyle S, Baxter K, </w:t>
      </w:r>
      <w:r w:rsidRPr="00C91ACF">
        <w:rPr>
          <w:i/>
        </w:rPr>
        <w:t>et al</w:t>
      </w:r>
      <w:r w:rsidRPr="00520C7C">
        <w:t xml:space="preserve">. Understanding the relationship between weight loss, emotional well-being and health-related quality of life in patients attending a specialist obesity weight management service. </w:t>
      </w:r>
      <w:r w:rsidRPr="00C91ACF">
        <w:rPr>
          <w:i/>
        </w:rPr>
        <w:t>J Health Psychol</w:t>
      </w:r>
      <w:r w:rsidRPr="00520C7C">
        <w:t xml:space="preserve"> 2013;18:574-86.</w:t>
      </w:r>
    </w:p>
    <w:p w14:paraId="3C7FD32D" w14:textId="77777777" w:rsidR="005A3DB1" w:rsidRDefault="005A3DB1" w:rsidP="005A3DB1">
      <w:pPr>
        <w:pStyle w:val="EndNoteBibliography"/>
        <w:numPr>
          <w:ilvl w:val="0"/>
          <w:numId w:val="17"/>
        </w:numPr>
        <w:spacing w:after="480"/>
        <w:ind w:left="360"/>
      </w:pPr>
      <w:r w:rsidRPr="00520C7C">
        <w:t xml:space="preserve">Somerville R, McKenzie K, Eslami S, </w:t>
      </w:r>
      <w:r w:rsidRPr="00C91ACF">
        <w:rPr>
          <w:i/>
        </w:rPr>
        <w:t>et al</w:t>
      </w:r>
      <w:r w:rsidRPr="00520C7C">
        <w:t xml:space="preserve">. Poor mental health in severely obese patients is not explained by the presence of comorbidities. </w:t>
      </w:r>
      <w:r w:rsidRPr="00C91ACF">
        <w:rPr>
          <w:i/>
        </w:rPr>
        <w:t xml:space="preserve">Clin Obes </w:t>
      </w:r>
      <w:r w:rsidRPr="00520C7C">
        <w:t>2014;5:12-21.</w:t>
      </w:r>
    </w:p>
    <w:p w14:paraId="0ED54C4D" w14:textId="77777777" w:rsidR="005A3DB1" w:rsidRPr="00E91F5B" w:rsidRDefault="005A3DB1" w:rsidP="005A3DB1">
      <w:pPr>
        <w:pStyle w:val="EndNoteBibliography"/>
        <w:numPr>
          <w:ilvl w:val="0"/>
          <w:numId w:val="17"/>
        </w:numPr>
        <w:spacing w:after="480"/>
        <w:ind w:left="360"/>
        <w:rPr>
          <w:rStyle w:val="Hyperlink"/>
          <w:color w:val="auto"/>
        </w:rPr>
      </w:pPr>
      <w:r w:rsidRPr="00C91ACF">
        <w:rPr>
          <w:rStyle w:val="Hyperlink"/>
          <w:color w:val="auto"/>
        </w:rPr>
        <w:t>Madigan CD, Daley AJ, Lewis AL, et al. Which weight-loss programmes are as effective as Weight Watchers®? Brit J Gen Pract 2014;64(620):e128-e136.</w:t>
      </w:r>
    </w:p>
    <w:p w14:paraId="27DCEF7B" w14:textId="77777777" w:rsidR="005A3DB1" w:rsidRDefault="005A3DB1" w:rsidP="005A3DB1">
      <w:pPr>
        <w:pStyle w:val="EndNoteBibliography"/>
        <w:numPr>
          <w:ilvl w:val="0"/>
          <w:numId w:val="17"/>
        </w:numPr>
        <w:spacing w:after="480"/>
        <w:ind w:left="360"/>
      </w:pPr>
      <w:r w:rsidRPr="00520C7C">
        <w:t xml:space="preserve">Curtis S, Oven K, Wistow J, </w:t>
      </w:r>
      <w:r w:rsidRPr="00C91ACF">
        <w:rPr>
          <w:i/>
        </w:rPr>
        <w:t>et al</w:t>
      </w:r>
      <w:r w:rsidRPr="00520C7C">
        <w:t xml:space="preserve">. Adaptation to extreme weather events in complex health and social care systems: The example of older people’s services in England. </w:t>
      </w:r>
      <w:r w:rsidRPr="00C91ACF">
        <w:rPr>
          <w:i/>
        </w:rPr>
        <w:t>Environ Plann C: Politics and Space</w:t>
      </w:r>
      <w:r w:rsidRPr="00520C7C">
        <w:t xml:space="preserve"> 2018;36:67-91.</w:t>
      </w:r>
    </w:p>
    <w:p w14:paraId="61DBFC6D" w14:textId="77777777" w:rsidR="005A3DB1" w:rsidRDefault="005A3DB1" w:rsidP="005A3DB1">
      <w:pPr>
        <w:pStyle w:val="EndNoteBibliography"/>
        <w:numPr>
          <w:ilvl w:val="0"/>
          <w:numId w:val="17"/>
        </w:numPr>
        <w:spacing w:after="480"/>
        <w:ind w:left="360"/>
      </w:pPr>
      <w:r w:rsidRPr="00520C7C">
        <w:t xml:space="preserve">Milat AJ, King L, Newson R, </w:t>
      </w:r>
      <w:r w:rsidRPr="00C91ACF">
        <w:rPr>
          <w:i/>
        </w:rPr>
        <w:t>et al</w:t>
      </w:r>
      <w:r w:rsidRPr="00520C7C">
        <w:t xml:space="preserve">. Increasing the scale and adoption of population health interventions: experiences and perspectives of policy makers, practitioners, and researchers. </w:t>
      </w:r>
      <w:r w:rsidRPr="00C91ACF">
        <w:rPr>
          <w:i/>
        </w:rPr>
        <w:t>Health Res Policy and Systems</w:t>
      </w:r>
      <w:r w:rsidRPr="00520C7C">
        <w:t xml:space="preserve"> 2014;12:18.</w:t>
      </w:r>
    </w:p>
    <w:p w14:paraId="4F6FCB05" w14:textId="77777777" w:rsidR="005A3DB1" w:rsidRDefault="005A3DB1" w:rsidP="005A3DB1">
      <w:pPr>
        <w:pStyle w:val="EndNoteBibliography"/>
        <w:numPr>
          <w:ilvl w:val="0"/>
          <w:numId w:val="17"/>
        </w:numPr>
        <w:spacing w:after="480"/>
        <w:ind w:left="360"/>
      </w:pPr>
      <w:r w:rsidRPr="00520C7C">
        <w:t xml:space="preserve">Jebb S. </w:t>
      </w:r>
      <w:r w:rsidRPr="00C91ACF">
        <w:rPr>
          <w:i/>
        </w:rPr>
        <w:t xml:space="preserve">Dusting off Foresight’s obesity report. </w:t>
      </w:r>
      <w:r w:rsidRPr="00520C7C">
        <w:t>Foresight Blog UK: Government Office for Science, 2017</w:t>
      </w:r>
      <w:r w:rsidRPr="00C91ACF">
        <w:t xml:space="preserve">. </w:t>
      </w:r>
      <w:hyperlink r:id="rId18" w:history="1">
        <w:r w:rsidRPr="00C91ACF">
          <w:rPr>
            <w:rStyle w:val="Hyperlink"/>
            <w:color w:val="auto"/>
          </w:rPr>
          <w:t>https://foresightprojects.blog.gov.uk/2017/10/04/dusting-off-foresights-obesity-report/</w:t>
        </w:r>
      </w:hyperlink>
      <w:r w:rsidRPr="00C91ACF">
        <w:rPr>
          <w:rStyle w:val="Hyperlink"/>
          <w:color w:val="auto"/>
        </w:rPr>
        <w:t xml:space="preserve">. </w:t>
      </w:r>
      <w:r w:rsidRPr="00C91ACF">
        <w:t>(Accessed 01 Feb 2019)</w:t>
      </w:r>
    </w:p>
    <w:p w14:paraId="0ECC6E76" w14:textId="77777777" w:rsidR="005A3DB1" w:rsidRPr="00E91F5B" w:rsidRDefault="005A3DB1" w:rsidP="005A3DB1">
      <w:pPr>
        <w:pStyle w:val="EndNoteBibliography"/>
        <w:numPr>
          <w:ilvl w:val="0"/>
          <w:numId w:val="17"/>
        </w:numPr>
        <w:spacing w:after="480"/>
        <w:ind w:left="360"/>
        <w:rPr>
          <w:color w:val="0066CC"/>
        </w:rPr>
      </w:pPr>
      <w:r w:rsidRPr="004A38CB">
        <w:rPr>
          <w:shd w:val="clear" w:color="auto" w:fill="F0EFEF"/>
        </w:rPr>
        <w:t>Wolfenden  L, Goldman  S, Stacey  FG</w:t>
      </w:r>
      <w:r w:rsidRPr="00520C7C" w:rsidDel="00B3178B">
        <w:t xml:space="preserve"> </w:t>
      </w:r>
      <w:r w:rsidRPr="00C91ACF">
        <w:rPr>
          <w:i/>
        </w:rPr>
        <w:t>et al</w:t>
      </w:r>
      <w:r w:rsidRPr="00520C7C">
        <w:t>. Strategies to improve the implementation of workplace</w:t>
      </w:r>
      <w:r w:rsidRPr="00C91ACF">
        <w:rPr>
          <w:rFonts w:ascii="Cambria Math" w:hAnsi="Cambria Math" w:cs="Cambria Math"/>
        </w:rPr>
        <w:t>‐</w:t>
      </w:r>
      <w:r w:rsidRPr="00520C7C">
        <w:t xml:space="preserve">based policies or practices targeting tobacco, alcohol, diet, physical activity and obesity. </w:t>
      </w:r>
      <w:r w:rsidRPr="00C91ACF">
        <w:rPr>
          <w:i/>
        </w:rPr>
        <w:t>Cochrane Database of Syst Rev</w:t>
      </w:r>
      <w:r w:rsidRPr="00520C7C">
        <w:t xml:space="preserve"> 2018;11:CD012439.</w:t>
      </w:r>
      <w:r w:rsidRPr="00520C7C">
        <w:rPr>
          <w:rStyle w:val="Hyperlink"/>
          <w:color w:val="auto"/>
        </w:rPr>
        <w:t xml:space="preserve"> </w:t>
      </w:r>
    </w:p>
    <w:p w14:paraId="4F498972" w14:textId="77777777" w:rsidR="005261D2" w:rsidRPr="00520C7C" w:rsidRDefault="005261D2" w:rsidP="00EB555B">
      <w:pPr>
        <w:spacing w:after="200" w:line="276" w:lineRule="auto"/>
        <w:rPr>
          <w:rFonts w:eastAsia="MS PGothic"/>
          <w:b/>
        </w:rPr>
      </w:pPr>
    </w:p>
    <w:p w14:paraId="0BD42632" w14:textId="77777777" w:rsidR="005261D2" w:rsidRPr="00520C7C" w:rsidRDefault="005261D2" w:rsidP="00EB555B">
      <w:pPr>
        <w:spacing w:after="200" w:line="276" w:lineRule="auto"/>
        <w:rPr>
          <w:rFonts w:eastAsia="MS PGothic"/>
          <w:b/>
        </w:rPr>
      </w:pPr>
    </w:p>
    <w:p w14:paraId="32B6629F" w14:textId="77777777" w:rsidR="005261D2" w:rsidRPr="00520C7C" w:rsidRDefault="005261D2" w:rsidP="00EB555B">
      <w:pPr>
        <w:spacing w:after="200" w:line="276" w:lineRule="auto"/>
        <w:rPr>
          <w:rFonts w:eastAsia="MS PGothic"/>
          <w:b/>
        </w:rPr>
      </w:pPr>
    </w:p>
    <w:p w14:paraId="44FD2517" w14:textId="77777777" w:rsidR="005261D2" w:rsidRPr="00520C7C" w:rsidRDefault="005261D2" w:rsidP="00EB555B">
      <w:pPr>
        <w:spacing w:after="200" w:line="276" w:lineRule="auto"/>
        <w:rPr>
          <w:rFonts w:eastAsia="MS PGothic"/>
          <w:b/>
        </w:rPr>
      </w:pPr>
    </w:p>
    <w:p w14:paraId="670DDF02" w14:textId="72543CC3" w:rsidR="00C10182" w:rsidRDefault="00C10182">
      <w:pPr>
        <w:spacing w:after="200" w:line="276" w:lineRule="auto"/>
        <w:rPr>
          <w:rFonts w:eastAsia="MS PGothic"/>
          <w:sz w:val="12"/>
        </w:rPr>
      </w:pPr>
      <w:r>
        <w:rPr>
          <w:rFonts w:eastAsia="MS PGothic"/>
          <w:sz w:val="12"/>
        </w:rPr>
        <w:br w:type="page"/>
      </w:r>
    </w:p>
    <w:p w14:paraId="3265D918" w14:textId="12814E97" w:rsidR="00C10182" w:rsidRDefault="00C10182">
      <w:pPr>
        <w:spacing w:after="200" w:line="276" w:lineRule="auto"/>
        <w:rPr>
          <w:rFonts w:eastAsia="MS PGothic"/>
          <w:sz w:val="12"/>
        </w:rPr>
      </w:pPr>
      <w:r>
        <w:rPr>
          <w:noProof/>
          <w:lang w:eastAsia="en-GB"/>
        </w:rPr>
        <w:drawing>
          <wp:inline distT="0" distB="0" distL="0" distR="0" wp14:anchorId="6FFE39E2" wp14:editId="06FF7D94">
            <wp:extent cx="5731510" cy="46856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685665"/>
                    </a:xfrm>
                    <a:prstGeom prst="rect">
                      <a:avLst/>
                    </a:prstGeom>
                  </pic:spPr>
                </pic:pic>
              </a:graphicData>
            </a:graphic>
          </wp:inline>
        </w:drawing>
      </w:r>
      <w:r>
        <w:rPr>
          <w:rFonts w:eastAsia="MS PGothic"/>
          <w:sz w:val="12"/>
        </w:rPr>
        <w:t xml:space="preserve"> </w:t>
      </w:r>
      <w:r>
        <w:rPr>
          <w:rFonts w:eastAsia="MS PGothic"/>
          <w:sz w:val="12"/>
        </w:rPr>
        <w:br w:type="page"/>
      </w:r>
    </w:p>
    <w:p w14:paraId="692D2126" w14:textId="6379BEC5" w:rsidR="00C10182" w:rsidRPr="00C10182" w:rsidRDefault="00C10182" w:rsidP="00C10182">
      <w:pPr>
        <w:autoSpaceDE w:val="0"/>
        <w:autoSpaceDN w:val="0"/>
        <w:adjustRightInd w:val="0"/>
        <w:spacing w:line="480" w:lineRule="auto"/>
        <w:rPr>
          <w:color w:val="000000"/>
          <w:sz w:val="23"/>
          <w:szCs w:val="23"/>
        </w:rPr>
      </w:pPr>
      <w:r w:rsidRPr="00C10182">
        <w:rPr>
          <w:b/>
          <w:bCs/>
          <w:color w:val="000000"/>
          <w:sz w:val="23"/>
          <w:szCs w:val="23"/>
        </w:rPr>
        <w:t xml:space="preserve">SUPPLEMENTARY FILE 2. </w:t>
      </w:r>
    </w:p>
    <w:p w14:paraId="390387D9" w14:textId="77777777" w:rsidR="00C10182" w:rsidRDefault="00C10182" w:rsidP="00C10182">
      <w:pPr>
        <w:autoSpaceDE w:val="0"/>
        <w:autoSpaceDN w:val="0"/>
        <w:adjustRightInd w:val="0"/>
        <w:spacing w:line="480" w:lineRule="auto"/>
        <w:rPr>
          <w:b/>
          <w:bCs/>
          <w:color w:val="000000"/>
          <w:sz w:val="23"/>
          <w:szCs w:val="23"/>
        </w:rPr>
      </w:pPr>
    </w:p>
    <w:p w14:paraId="035D9BFB" w14:textId="62718B8D" w:rsidR="00C10182" w:rsidRPr="00C10182" w:rsidRDefault="00C10182" w:rsidP="00C10182">
      <w:pPr>
        <w:autoSpaceDE w:val="0"/>
        <w:autoSpaceDN w:val="0"/>
        <w:adjustRightInd w:val="0"/>
        <w:spacing w:line="480" w:lineRule="auto"/>
        <w:rPr>
          <w:color w:val="000000"/>
          <w:sz w:val="23"/>
          <w:szCs w:val="23"/>
        </w:rPr>
      </w:pPr>
      <w:r w:rsidRPr="00C10182">
        <w:rPr>
          <w:b/>
          <w:bCs/>
          <w:color w:val="000000"/>
          <w:sz w:val="23"/>
          <w:szCs w:val="23"/>
        </w:rPr>
        <w:t xml:space="preserve">Healthcare professionals’ semi-structured interview guide </w:t>
      </w:r>
    </w:p>
    <w:p w14:paraId="3935923F"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Semi Structured Interview Set the interviewee at ease; explain purpose of the interview; offer a better understanding of what the referral process requires to aid tier 2 weight management to be delivered in Northumberland; explanation about how the interview will be recorded; reaffirmation of consent; and how the information will be analysed and stored; rules of confidentiality / anonymity etc. </w:t>
      </w:r>
    </w:p>
    <w:p w14:paraId="15156B72" w14:textId="77777777" w:rsidR="00C10182" w:rsidRDefault="00C10182" w:rsidP="00C10182">
      <w:pPr>
        <w:autoSpaceDE w:val="0"/>
        <w:autoSpaceDN w:val="0"/>
        <w:adjustRightInd w:val="0"/>
        <w:spacing w:line="480" w:lineRule="auto"/>
        <w:rPr>
          <w:color w:val="000000"/>
          <w:sz w:val="23"/>
          <w:szCs w:val="23"/>
        </w:rPr>
      </w:pPr>
    </w:p>
    <w:p w14:paraId="57385F37" w14:textId="15CA8322"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 xml:space="preserve">Questions: </w:t>
      </w:r>
    </w:p>
    <w:p w14:paraId="28A9A323"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 xml:space="preserve">1. Thinking about raising the weight issue, tell me about your experience of discussing weight with patients. </w:t>
      </w:r>
    </w:p>
    <w:p w14:paraId="0EE44D9C" w14:textId="77777777" w:rsidR="00C10182" w:rsidRPr="00C10182" w:rsidRDefault="00C10182" w:rsidP="00C10182">
      <w:pPr>
        <w:autoSpaceDE w:val="0"/>
        <w:autoSpaceDN w:val="0"/>
        <w:adjustRightInd w:val="0"/>
        <w:spacing w:line="480" w:lineRule="auto"/>
        <w:rPr>
          <w:color w:val="000000"/>
          <w:sz w:val="23"/>
          <w:szCs w:val="23"/>
        </w:rPr>
      </w:pPr>
    </w:p>
    <w:p w14:paraId="67820F9E"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039E1836" w14:textId="2AEC8DBD" w:rsidR="00C10182" w:rsidRPr="00C10182" w:rsidRDefault="00C10182" w:rsidP="00C10182">
      <w:pPr>
        <w:pStyle w:val="ListParagraph"/>
        <w:numPr>
          <w:ilvl w:val="0"/>
          <w:numId w:val="20"/>
        </w:numPr>
        <w:autoSpaceDE w:val="0"/>
        <w:autoSpaceDN w:val="0"/>
        <w:adjustRightInd w:val="0"/>
        <w:spacing w:after="322" w:line="480" w:lineRule="auto"/>
        <w:rPr>
          <w:color w:val="000000"/>
          <w:sz w:val="23"/>
          <w:szCs w:val="23"/>
        </w:rPr>
      </w:pPr>
      <w:r w:rsidRPr="00C10182">
        <w:rPr>
          <w:color w:val="000000"/>
          <w:sz w:val="23"/>
          <w:szCs w:val="23"/>
        </w:rPr>
        <w:t xml:space="preserve">How does it feel to raise weight as an issue? </w:t>
      </w:r>
    </w:p>
    <w:p w14:paraId="6313941A" w14:textId="75A086B8" w:rsidR="00C10182" w:rsidRPr="00C10182" w:rsidRDefault="00C10182" w:rsidP="00C10182">
      <w:pPr>
        <w:pStyle w:val="ListParagraph"/>
        <w:numPr>
          <w:ilvl w:val="0"/>
          <w:numId w:val="20"/>
        </w:numPr>
        <w:autoSpaceDE w:val="0"/>
        <w:autoSpaceDN w:val="0"/>
        <w:adjustRightInd w:val="0"/>
        <w:spacing w:after="322" w:line="480" w:lineRule="auto"/>
        <w:rPr>
          <w:color w:val="000000"/>
          <w:sz w:val="23"/>
          <w:szCs w:val="23"/>
        </w:rPr>
      </w:pPr>
      <w:r w:rsidRPr="00C10182">
        <w:rPr>
          <w:color w:val="000000"/>
          <w:sz w:val="23"/>
          <w:szCs w:val="23"/>
        </w:rPr>
        <w:t xml:space="preserve">Are patients open to discussing weight problems? </w:t>
      </w:r>
    </w:p>
    <w:p w14:paraId="0125840A" w14:textId="7F579DB9" w:rsidR="00C10182" w:rsidRPr="00C10182" w:rsidRDefault="00C10182" w:rsidP="00C10182">
      <w:pPr>
        <w:pStyle w:val="ListParagraph"/>
        <w:numPr>
          <w:ilvl w:val="0"/>
          <w:numId w:val="20"/>
        </w:numPr>
        <w:autoSpaceDE w:val="0"/>
        <w:autoSpaceDN w:val="0"/>
        <w:adjustRightInd w:val="0"/>
        <w:spacing w:after="322" w:line="480" w:lineRule="auto"/>
        <w:rPr>
          <w:color w:val="000000"/>
          <w:sz w:val="23"/>
          <w:szCs w:val="23"/>
        </w:rPr>
      </w:pPr>
      <w:r w:rsidRPr="00C10182">
        <w:rPr>
          <w:color w:val="000000"/>
          <w:sz w:val="23"/>
          <w:szCs w:val="23"/>
        </w:rPr>
        <w:t xml:space="preserve">Do you find a difference between genders when discussing weight? </w:t>
      </w:r>
    </w:p>
    <w:p w14:paraId="174717E7" w14:textId="7A63EC88" w:rsidR="00C10182" w:rsidRPr="00C10182" w:rsidRDefault="00C10182" w:rsidP="00C10182">
      <w:pPr>
        <w:pStyle w:val="ListParagraph"/>
        <w:numPr>
          <w:ilvl w:val="0"/>
          <w:numId w:val="20"/>
        </w:numPr>
        <w:autoSpaceDE w:val="0"/>
        <w:autoSpaceDN w:val="0"/>
        <w:adjustRightInd w:val="0"/>
        <w:spacing w:after="322" w:line="480" w:lineRule="auto"/>
        <w:rPr>
          <w:color w:val="000000"/>
          <w:sz w:val="23"/>
          <w:szCs w:val="23"/>
        </w:rPr>
      </w:pPr>
      <w:r w:rsidRPr="00C10182">
        <w:rPr>
          <w:color w:val="000000"/>
          <w:sz w:val="23"/>
          <w:szCs w:val="23"/>
        </w:rPr>
        <w:t xml:space="preserve">What helps you, such as the NHS Health Check Programme, to raise the issue of weight? </w:t>
      </w:r>
    </w:p>
    <w:p w14:paraId="1D6CA91A" w14:textId="687869BE"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 xml:space="preserve">What else would help to raise the issue or weight in appointments? </w:t>
      </w:r>
    </w:p>
    <w:p w14:paraId="6CA0018D" w14:textId="77777777" w:rsidR="00C10182" w:rsidRPr="00C10182" w:rsidRDefault="00C10182" w:rsidP="00C10182">
      <w:pPr>
        <w:autoSpaceDE w:val="0"/>
        <w:autoSpaceDN w:val="0"/>
        <w:adjustRightInd w:val="0"/>
        <w:spacing w:line="480" w:lineRule="auto"/>
        <w:rPr>
          <w:color w:val="000000"/>
          <w:sz w:val="23"/>
          <w:szCs w:val="23"/>
        </w:rPr>
      </w:pPr>
    </w:p>
    <w:p w14:paraId="51688222"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 xml:space="preserve">2. Greater retention </w:t>
      </w:r>
      <w:proofErr w:type="gramStart"/>
      <w:r w:rsidRPr="00C10182">
        <w:rPr>
          <w:color w:val="000000"/>
          <w:sz w:val="23"/>
          <w:szCs w:val="23"/>
        </w:rPr>
        <w:t>is often achieved</w:t>
      </w:r>
      <w:proofErr w:type="gramEnd"/>
      <w:r w:rsidRPr="00C10182">
        <w:rPr>
          <w:color w:val="000000"/>
          <w:sz w:val="23"/>
          <w:szCs w:val="23"/>
        </w:rPr>
        <w:t xml:space="preserve"> when patients are ready to change, tell me how you work with / assess patient’s readiness to change. </w:t>
      </w:r>
    </w:p>
    <w:p w14:paraId="315536FB" w14:textId="77777777" w:rsidR="00C10182" w:rsidRPr="00C10182" w:rsidRDefault="00C10182" w:rsidP="00C10182">
      <w:pPr>
        <w:autoSpaceDE w:val="0"/>
        <w:autoSpaceDN w:val="0"/>
        <w:adjustRightInd w:val="0"/>
        <w:spacing w:line="480" w:lineRule="auto"/>
        <w:rPr>
          <w:color w:val="000000"/>
          <w:sz w:val="23"/>
          <w:szCs w:val="23"/>
        </w:rPr>
      </w:pPr>
    </w:p>
    <w:p w14:paraId="2D2B12DA"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687EFC9A" w14:textId="51B96960" w:rsidR="00C10182" w:rsidRPr="00C10182" w:rsidRDefault="00C10182" w:rsidP="00C10182">
      <w:pPr>
        <w:pStyle w:val="ListParagraph"/>
        <w:numPr>
          <w:ilvl w:val="0"/>
          <w:numId w:val="20"/>
        </w:numPr>
        <w:autoSpaceDE w:val="0"/>
        <w:autoSpaceDN w:val="0"/>
        <w:adjustRightInd w:val="0"/>
        <w:spacing w:after="322" w:line="480" w:lineRule="auto"/>
        <w:rPr>
          <w:color w:val="000000"/>
          <w:sz w:val="23"/>
          <w:szCs w:val="23"/>
        </w:rPr>
      </w:pPr>
      <w:r w:rsidRPr="00C10182">
        <w:rPr>
          <w:iCs/>
          <w:color w:val="000000"/>
          <w:sz w:val="23"/>
          <w:szCs w:val="23"/>
        </w:rPr>
        <w:t xml:space="preserve">Have you had training around the cycle of change? </w:t>
      </w:r>
    </w:p>
    <w:p w14:paraId="6AAD7DC1" w14:textId="130643B7" w:rsidR="00C10182" w:rsidRPr="00C10182" w:rsidRDefault="00C10182" w:rsidP="00C10182">
      <w:pPr>
        <w:pStyle w:val="ListParagraph"/>
        <w:numPr>
          <w:ilvl w:val="0"/>
          <w:numId w:val="20"/>
        </w:numPr>
        <w:autoSpaceDE w:val="0"/>
        <w:autoSpaceDN w:val="0"/>
        <w:adjustRightInd w:val="0"/>
        <w:spacing w:after="322" w:line="480" w:lineRule="auto"/>
        <w:rPr>
          <w:color w:val="000000"/>
          <w:sz w:val="23"/>
          <w:szCs w:val="23"/>
        </w:rPr>
      </w:pPr>
      <w:r w:rsidRPr="00C10182">
        <w:rPr>
          <w:color w:val="000000"/>
          <w:sz w:val="23"/>
          <w:szCs w:val="23"/>
        </w:rPr>
        <w:t xml:space="preserve">Do you use any specific tools or resources to assess the patient? </w:t>
      </w:r>
    </w:p>
    <w:p w14:paraId="1CBE3ED7" w14:textId="56781F54"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 xml:space="preserve">What would help you to assess the patient’s readiness to change? </w:t>
      </w:r>
    </w:p>
    <w:p w14:paraId="497D7CE5" w14:textId="03191B0A" w:rsidR="00C10182" w:rsidRDefault="00C10182" w:rsidP="00C10182">
      <w:pPr>
        <w:autoSpaceDE w:val="0"/>
        <w:autoSpaceDN w:val="0"/>
        <w:adjustRightInd w:val="0"/>
        <w:spacing w:line="480" w:lineRule="auto"/>
        <w:rPr>
          <w:color w:val="000000"/>
          <w:sz w:val="23"/>
          <w:szCs w:val="23"/>
        </w:rPr>
      </w:pPr>
    </w:p>
    <w:p w14:paraId="2FF174F5" w14:textId="77777777" w:rsidR="00FF4935" w:rsidRPr="00C10182" w:rsidRDefault="00FF4935" w:rsidP="00FF4935">
      <w:pPr>
        <w:autoSpaceDE w:val="0"/>
        <w:autoSpaceDN w:val="0"/>
        <w:adjustRightInd w:val="0"/>
        <w:spacing w:line="480" w:lineRule="auto"/>
        <w:rPr>
          <w:color w:val="000000"/>
          <w:sz w:val="23"/>
          <w:szCs w:val="23"/>
        </w:rPr>
      </w:pPr>
      <w:r w:rsidRPr="00C10182">
        <w:rPr>
          <w:color w:val="000000"/>
          <w:sz w:val="23"/>
          <w:szCs w:val="23"/>
        </w:rPr>
        <w:t xml:space="preserve">3. Thinking the information and resources available to you during the referral, do you feel you had enough information and resources to encourage patient take up of the programme? </w:t>
      </w:r>
    </w:p>
    <w:p w14:paraId="5D209778" w14:textId="77777777" w:rsidR="00FF4935" w:rsidRPr="00C10182" w:rsidRDefault="00FF4935" w:rsidP="00FF4935">
      <w:pPr>
        <w:autoSpaceDE w:val="0"/>
        <w:autoSpaceDN w:val="0"/>
        <w:adjustRightInd w:val="0"/>
        <w:spacing w:line="480" w:lineRule="auto"/>
        <w:rPr>
          <w:color w:val="000000"/>
          <w:sz w:val="23"/>
          <w:szCs w:val="23"/>
        </w:rPr>
      </w:pPr>
    </w:p>
    <w:p w14:paraId="465FC6D6" w14:textId="77777777" w:rsidR="00FF4935" w:rsidRPr="00C10182" w:rsidRDefault="00FF4935" w:rsidP="00FF4935">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635BDD53" w14:textId="551F770E" w:rsidR="00FF4935" w:rsidRPr="00FF4935" w:rsidRDefault="00FF4935" w:rsidP="00FF4935">
      <w:pPr>
        <w:pStyle w:val="ListParagraph"/>
        <w:numPr>
          <w:ilvl w:val="0"/>
          <w:numId w:val="20"/>
        </w:numPr>
        <w:autoSpaceDE w:val="0"/>
        <w:autoSpaceDN w:val="0"/>
        <w:adjustRightInd w:val="0"/>
        <w:spacing w:after="320" w:line="480" w:lineRule="auto"/>
        <w:rPr>
          <w:color w:val="000000"/>
          <w:sz w:val="23"/>
          <w:szCs w:val="23"/>
        </w:rPr>
      </w:pPr>
      <w:r w:rsidRPr="00FF4935">
        <w:rPr>
          <w:color w:val="000000"/>
          <w:sz w:val="23"/>
          <w:szCs w:val="23"/>
        </w:rPr>
        <w:t xml:space="preserve">Did you have enough background information? </w:t>
      </w:r>
    </w:p>
    <w:p w14:paraId="5646B455" w14:textId="1A357496" w:rsidR="00FF4935" w:rsidRPr="00FF4935" w:rsidRDefault="00FF4935" w:rsidP="00FF4935">
      <w:pPr>
        <w:pStyle w:val="ListParagraph"/>
        <w:numPr>
          <w:ilvl w:val="0"/>
          <w:numId w:val="20"/>
        </w:numPr>
        <w:autoSpaceDE w:val="0"/>
        <w:autoSpaceDN w:val="0"/>
        <w:adjustRightInd w:val="0"/>
        <w:spacing w:after="320" w:line="480" w:lineRule="auto"/>
        <w:rPr>
          <w:color w:val="000000"/>
          <w:sz w:val="23"/>
          <w:szCs w:val="23"/>
        </w:rPr>
      </w:pPr>
      <w:r w:rsidRPr="00FF4935">
        <w:rPr>
          <w:color w:val="000000"/>
          <w:sz w:val="23"/>
          <w:szCs w:val="23"/>
        </w:rPr>
        <w:t xml:space="preserve">Were the referral forms suitable / capture all the information required? </w:t>
      </w:r>
    </w:p>
    <w:p w14:paraId="71811264" w14:textId="00F553E9" w:rsidR="00FF4935" w:rsidRPr="00FF4935" w:rsidRDefault="00FF4935" w:rsidP="00FF4935">
      <w:pPr>
        <w:pStyle w:val="ListParagraph"/>
        <w:numPr>
          <w:ilvl w:val="0"/>
          <w:numId w:val="20"/>
        </w:numPr>
        <w:autoSpaceDE w:val="0"/>
        <w:autoSpaceDN w:val="0"/>
        <w:adjustRightInd w:val="0"/>
        <w:spacing w:after="320" w:line="480" w:lineRule="auto"/>
        <w:rPr>
          <w:color w:val="000000"/>
          <w:sz w:val="23"/>
          <w:szCs w:val="23"/>
        </w:rPr>
      </w:pPr>
      <w:r w:rsidRPr="00FF4935">
        <w:rPr>
          <w:color w:val="000000"/>
          <w:sz w:val="23"/>
          <w:szCs w:val="23"/>
        </w:rPr>
        <w:t xml:space="preserve">Were the patient leaflets / resources suitable? </w:t>
      </w:r>
    </w:p>
    <w:p w14:paraId="7FAB8DA5" w14:textId="52230EF1" w:rsidR="00FF4935" w:rsidRPr="00FF4935" w:rsidRDefault="00FF4935" w:rsidP="00FF4935">
      <w:pPr>
        <w:pStyle w:val="ListParagraph"/>
        <w:numPr>
          <w:ilvl w:val="0"/>
          <w:numId w:val="20"/>
        </w:numPr>
        <w:autoSpaceDE w:val="0"/>
        <w:autoSpaceDN w:val="0"/>
        <w:adjustRightInd w:val="0"/>
        <w:spacing w:after="320" w:line="480" w:lineRule="auto"/>
        <w:rPr>
          <w:color w:val="000000"/>
          <w:sz w:val="23"/>
          <w:szCs w:val="23"/>
        </w:rPr>
      </w:pPr>
      <w:r w:rsidRPr="00FF4935">
        <w:rPr>
          <w:iCs/>
          <w:color w:val="000000"/>
          <w:sz w:val="23"/>
          <w:szCs w:val="23"/>
        </w:rPr>
        <w:t xml:space="preserve">Were there questions or issues raised that </w:t>
      </w:r>
      <w:proofErr w:type="gramStart"/>
      <w:r w:rsidRPr="00FF4935">
        <w:rPr>
          <w:iCs/>
          <w:color w:val="000000"/>
          <w:sz w:val="23"/>
          <w:szCs w:val="23"/>
        </w:rPr>
        <w:t>couldn’t</w:t>
      </w:r>
      <w:proofErr w:type="gramEnd"/>
      <w:r w:rsidRPr="00FF4935">
        <w:rPr>
          <w:iCs/>
          <w:color w:val="000000"/>
          <w:sz w:val="23"/>
          <w:szCs w:val="23"/>
        </w:rPr>
        <w:t xml:space="preserve"> be answered? </w:t>
      </w:r>
    </w:p>
    <w:p w14:paraId="7365F4F0" w14:textId="27B45010" w:rsidR="00FF4935" w:rsidRPr="00FF4935" w:rsidRDefault="00FF4935" w:rsidP="00FF4935">
      <w:pPr>
        <w:pStyle w:val="ListParagraph"/>
        <w:numPr>
          <w:ilvl w:val="0"/>
          <w:numId w:val="20"/>
        </w:numPr>
        <w:autoSpaceDE w:val="0"/>
        <w:autoSpaceDN w:val="0"/>
        <w:adjustRightInd w:val="0"/>
        <w:spacing w:after="320" w:line="480" w:lineRule="auto"/>
        <w:rPr>
          <w:color w:val="000000"/>
          <w:sz w:val="23"/>
          <w:szCs w:val="23"/>
        </w:rPr>
      </w:pPr>
      <w:r w:rsidRPr="00FF4935">
        <w:rPr>
          <w:color w:val="000000"/>
          <w:sz w:val="23"/>
          <w:szCs w:val="23"/>
        </w:rPr>
        <w:t xml:space="preserve">Was the process easy to use? </w:t>
      </w:r>
    </w:p>
    <w:p w14:paraId="2972A116" w14:textId="1BC173CB" w:rsidR="00FF4935" w:rsidRPr="00FF4935" w:rsidRDefault="00FF4935" w:rsidP="00FF4935">
      <w:pPr>
        <w:pStyle w:val="ListParagraph"/>
        <w:numPr>
          <w:ilvl w:val="0"/>
          <w:numId w:val="20"/>
        </w:numPr>
        <w:autoSpaceDE w:val="0"/>
        <w:autoSpaceDN w:val="0"/>
        <w:adjustRightInd w:val="0"/>
        <w:spacing w:line="480" w:lineRule="auto"/>
        <w:rPr>
          <w:color w:val="000000"/>
          <w:sz w:val="23"/>
          <w:szCs w:val="23"/>
        </w:rPr>
      </w:pPr>
      <w:r w:rsidRPr="00FF4935">
        <w:rPr>
          <w:color w:val="000000"/>
          <w:sz w:val="23"/>
          <w:szCs w:val="23"/>
        </w:rPr>
        <w:t xml:space="preserve">What else could help you to make referrals to weight management programmes? </w:t>
      </w:r>
    </w:p>
    <w:p w14:paraId="35AF2371" w14:textId="5C412D72" w:rsidR="00C10182" w:rsidRDefault="00C10182" w:rsidP="00C10182">
      <w:pPr>
        <w:autoSpaceDE w:val="0"/>
        <w:autoSpaceDN w:val="0"/>
        <w:adjustRightInd w:val="0"/>
        <w:rPr>
          <w:color w:val="000000"/>
          <w:sz w:val="23"/>
          <w:szCs w:val="23"/>
        </w:rPr>
      </w:pPr>
    </w:p>
    <w:p w14:paraId="4B7954D7" w14:textId="77777777" w:rsidR="00FF4935" w:rsidRPr="00C10182" w:rsidRDefault="00FF4935" w:rsidP="00C10182">
      <w:pPr>
        <w:autoSpaceDE w:val="0"/>
        <w:autoSpaceDN w:val="0"/>
        <w:adjustRightInd w:val="0"/>
        <w:rPr>
          <w:color w:val="000000"/>
        </w:rPr>
      </w:pPr>
      <w:bookmarkStart w:id="5" w:name="_GoBack"/>
      <w:bookmarkEnd w:id="5"/>
    </w:p>
    <w:p w14:paraId="1AEF6AD6"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4. Thinking about after you referred the patient, what happened next? (</w:t>
      </w:r>
      <w:proofErr w:type="gramStart"/>
      <w:r w:rsidRPr="00C10182">
        <w:rPr>
          <w:color w:val="000000"/>
          <w:sz w:val="23"/>
          <w:szCs w:val="23"/>
        </w:rPr>
        <w:t>excluded</w:t>
      </w:r>
      <w:proofErr w:type="gramEnd"/>
      <w:r w:rsidRPr="00C10182">
        <w:rPr>
          <w:color w:val="000000"/>
          <w:sz w:val="23"/>
          <w:szCs w:val="23"/>
        </w:rPr>
        <w:t xml:space="preserve"> after pilot) </w:t>
      </w:r>
    </w:p>
    <w:p w14:paraId="6DE263D7"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211D0F9E" w14:textId="5AB06D9F"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iCs/>
          <w:color w:val="000000"/>
          <w:sz w:val="23"/>
          <w:szCs w:val="23"/>
        </w:rPr>
        <w:t xml:space="preserve">Did you get feedback from the weight management programme on the progress of your patient? </w:t>
      </w:r>
    </w:p>
    <w:p w14:paraId="72ECD213" w14:textId="6AC449D9"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Did your patients achieve weight loss? </w:t>
      </w:r>
    </w:p>
    <w:p w14:paraId="02440D28" w14:textId="7589E754"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 xml:space="preserve">Did your patient come back and talk about their experience? </w:t>
      </w:r>
    </w:p>
    <w:p w14:paraId="07B95A87" w14:textId="77777777" w:rsidR="00C10182" w:rsidRPr="00C10182" w:rsidRDefault="00C10182" w:rsidP="00C10182">
      <w:pPr>
        <w:autoSpaceDE w:val="0"/>
        <w:autoSpaceDN w:val="0"/>
        <w:adjustRightInd w:val="0"/>
        <w:spacing w:line="480" w:lineRule="auto"/>
        <w:rPr>
          <w:color w:val="000000"/>
          <w:sz w:val="23"/>
          <w:szCs w:val="23"/>
        </w:rPr>
      </w:pPr>
    </w:p>
    <w:p w14:paraId="6CD299DA" w14:textId="77777777" w:rsidR="00C10182" w:rsidRPr="00C10182" w:rsidRDefault="00C10182" w:rsidP="00C10182">
      <w:pPr>
        <w:autoSpaceDE w:val="0"/>
        <w:autoSpaceDN w:val="0"/>
        <w:adjustRightInd w:val="0"/>
        <w:spacing w:line="480" w:lineRule="auto"/>
        <w:rPr>
          <w:color w:val="000000"/>
          <w:sz w:val="23"/>
          <w:szCs w:val="23"/>
        </w:rPr>
      </w:pPr>
      <w:proofErr w:type="gramStart"/>
      <w:r w:rsidRPr="00C10182">
        <w:rPr>
          <w:color w:val="000000"/>
          <w:sz w:val="23"/>
          <w:szCs w:val="23"/>
        </w:rPr>
        <w:t>5. What things are most likely to prevent you from making the referral a weight management programme, either commercial or Public Health funded?</w:t>
      </w:r>
      <w:proofErr w:type="gramEnd"/>
      <w:r w:rsidRPr="00C10182">
        <w:rPr>
          <w:color w:val="000000"/>
          <w:sz w:val="23"/>
          <w:szCs w:val="23"/>
        </w:rPr>
        <w:t xml:space="preserve"> </w:t>
      </w:r>
    </w:p>
    <w:p w14:paraId="6665227D" w14:textId="77777777" w:rsidR="00C10182" w:rsidRPr="00C10182" w:rsidRDefault="00C10182" w:rsidP="00C10182">
      <w:pPr>
        <w:autoSpaceDE w:val="0"/>
        <w:autoSpaceDN w:val="0"/>
        <w:adjustRightInd w:val="0"/>
        <w:spacing w:line="480" w:lineRule="auto"/>
        <w:rPr>
          <w:color w:val="000000"/>
          <w:sz w:val="23"/>
          <w:szCs w:val="23"/>
        </w:rPr>
      </w:pPr>
    </w:p>
    <w:p w14:paraId="50E91277"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18763F24" w14:textId="55713F0F"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Are there barriers that you perceive, such as cost to the patient? </w:t>
      </w:r>
    </w:p>
    <w:p w14:paraId="0B610EBD" w14:textId="287833E4"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Are you concerned with raising the weight issue? </w:t>
      </w:r>
    </w:p>
    <w:p w14:paraId="257F2727" w14:textId="02CE0549"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iCs/>
          <w:color w:val="000000"/>
          <w:sz w:val="23"/>
          <w:szCs w:val="23"/>
        </w:rPr>
        <w:t xml:space="preserve">Is it a time factor if the patient has an appointment for anything other than a weight issue? </w:t>
      </w:r>
    </w:p>
    <w:p w14:paraId="1A0DC961" w14:textId="0964E55E"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 xml:space="preserve">What would help you to overcome the barriers that prevent you from making the referral? </w:t>
      </w:r>
    </w:p>
    <w:p w14:paraId="1DF34949" w14:textId="77777777" w:rsidR="00C10182" w:rsidRPr="00C10182" w:rsidRDefault="00C10182" w:rsidP="00C10182">
      <w:pPr>
        <w:autoSpaceDE w:val="0"/>
        <w:autoSpaceDN w:val="0"/>
        <w:adjustRightInd w:val="0"/>
        <w:spacing w:line="480" w:lineRule="auto"/>
        <w:rPr>
          <w:color w:val="000000"/>
          <w:sz w:val="23"/>
          <w:szCs w:val="23"/>
        </w:rPr>
      </w:pPr>
    </w:p>
    <w:p w14:paraId="194F2E18" w14:textId="77777777" w:rsidR="00C10182" w:rsidRPr="00C10182" w:rsidRDefault="00C10182" w:rsidP="00C10182">
      <w:pPr>
        <w:pageBreakBefore/>
        <w:autoSpaceDE w:val="0"/>
        <w:autoSpaceDN w:val="0"/>
        <w:adjustRightInd w:val="0"/>
        <w:spacing w:line="480" w:lineRule="auto"/>
        <w:rPr>
          <w:color w:val="000000"/>
          <w:sz w:val="23"/>
          <w:szCs w:val="23"/>
        </w:rPr>
      </w:pPr>
    </w:p>
    <w:p w14:paraId="0DA80785"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 xml:space="preserve">6. Is there anything else that you would like to tell me about your expectations and experiences of the weight management programme? </w:t>
      </w:r>
    </w:p>
    <w:p w14:paraId="1D4608F4" w14:textId="16494363" w:rsidR="00C10182" w:rsidRDefault="00C10182" w:rsidP="00C10182">
      <w:pPr>
        <w:autoSpaceDE w:val="0"/>
        <w:autoSpaceDN w:val="0"/>
        <w:adjustRightInd w:val="0"/>
        <w:spacing w:line="480" w:lineRule="auto"/>
        <w:rPr>
          <w:color w:val="000000"/>
          <w:sz w:val="23"/>
          <w:szCs w:val="23"/>
        </w:rPr>
      </w:pPr>
    </w:p>
    <w:p w14:paraId="28DAF86E" w14:textId="77777777" w:rsidR="00C10182" w:rsidRPr="00C10182" w:rsidRDefault="00C10182" w:rsidP="00C10182">
      <w:pPr>
        <w:autoSpaceDE w:val="0"/>
        <w:autoSpaceDN w:val="0"/>
        <w:adjustRightInd w:val="0"/>
        <w:spacing w:line="480" w:lineRule="auto"/>
        <w:rPr>
          <w:color w:val="000000"/>
          <w:sz w:val="23"/>
          <w:szCs w:val="23"/>
        </w:rPr>
      </w:pPr>
      <w:r w:rsidRPr="00C10182">
        <w:rPr>
          <w:b/>
          <w:bCs/>
          <w:color w:val="000000"/>
          <w:sz w:val="23"/>
          <w:szCs w:val="23"/>
        </w:rPr>
        <w:t xml:space="preserve">Focus Group Topic Guide </w:t>
      </w:r>
    </w:p>
    <w:p w14:paraId="73794B8E" w14:textId="77777777" w:rsidR="00C10182" w:rsidRPr="00C10182" w:rsidRDefault="00C10182" w:rsidP="00C10182">
      <w:pPr>
        <w:autoSpaceDE w:val="0"/>
        <w:autoSpaceDN w:val="0"/>
        <w:adjustRightInd w:val="0"/>
        <w:spacing w:line="480" w:lineRule="auto"/>
        <w:rPr>
          <w:color w:val="000000"/>
          <w:sz w:val="23"/>
          <w:szCs w:val="23"/>
        </w:rPr>
      </w:pPr>
      <w:proofErr w:type="gramStart"/>
      <w:r w:rsidRPr="00C10182">
        <w:rPr>
          <w:i/>
          <w:iCs/>
          <w:color w:val="000000"/>
          <w:sz w:val="23"/>
          <w:szCs w:val="23"/>
        </w:rPr>
        <w:t>Set group at ease; explain purpose of the focus group; offer a better understanding of what works for people in terms of tier 2 weight management and what doesn’t, aiding development of an effective programme for Northumberland residents; explanation about how the focus group will be recorded; reaffirmation of consent; and how the information will be analysed and stored; rules of confidentiality / anonymity etc.</w:t>
      </w:r>
      <w:proofErr w:type="gramEnd"/>
      <w:r w:rsidRPr="00C10182">
        <w:rPr>
          <w:i/>
          <w:iCs/>
          <w:color w:val="000000"/>
          <w:sz w:val="23"/>
          <w:szCs w:val="23"/>
        </w:rPr>
        <w:t xml:space="preserve"> </w:t>
      </w:r>
    </w:p>
    <w:p w14:paraId="0F547E40"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 xml:space="preserve">1. Tell me a bit about what sort of weight management activity you have taken part in, in the past. </w:t>
      </w:r>
    </w:p>
    <w:p w14:paraId="377C13E0" w14:textId="77777777" w:rsidR="00C10182" w:rsidRPr="00C10182" w:rsidRDefault="00C10182" w:rsidP="00C10182">
      <w:pPr>
        <w:autoSpaceDE w:val="0"/>
        <w:autoSpaceDN w:val="0"/>
        <w:adjustRightInd w:val="0"/>
        <w:spacing w:line="480" w:lineRule="auto"/>
        <w:rPr>
          <w:color w:val="000000"/>
          <w:sz w:val="23"/>
          <w:szCs w:val="23"/>
        </w:rPr>
      </w:pPr>
    </w:p>
    <w:p w14:paraId="2E133BD0"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32EA6052" w14:textId="10D45830"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What influence have others had on your weight management? </w:t>
      </w:r>
    </w:p>
    <w:p w14:paraId="647E07BF" w14:textId="0A03CDFA"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Do you have any particular likes/dislikes of physical activity/managing weight/nutrition </w:t>
      </w:r>
    </w:p>
    <w:p w14:paraId="51FC220C" w14:textId="34398993"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proofErr w:type="gramStart"/>
      <w:r w:rsidRPr="00C10182">
        <w:rPr>
          <w:iCs/>
          <w:color w:val="000000"/>
          <w:sz w:val="23"/>
          <w:szCs w:val="23"/>
        </w:rPr>
        <w:t>Has there been anything else that has influenced your management of weight?</w:t>
      </w:r>
      <w:proofErr w:type="gramEnd"/>
      <w:r w:rsidRPr="00C10182">
        <w:rPr>
          <w:iCs/>
          <w:color w:val="000000"/>
          <w:sz w:val="23"/>
          <w:szCs w:val="23"/>
        </w:rPr>
        <w:t xml:space="preserve"> </w:t>
      </w:r>
    </w:p>
    <w:p w14:paraId="50B30345" w14:textId="77777777" w:rsidR="00C10182" w:rsidRPr="00C10182" w:rsidRDefault="00C10182" w:rsidP="00C10182">
      <w:pPr>
        <w:autoSpaceDE w:val="0"/>
        <w:autoSpaceDN w:val="0"/>
        <w:adjustRightInd w:val="0"/>
        <w:spacing w:line="480" w:lineRule="auto"/>
        <w:rPr>
          <w:color w:val="000000"/>
          <w:sz w:val="23"/>
          <w:szCs w:val="23"/>
        </w:rPr>
      </w:pPr>
    </w:p>
    <w:p w14:paraId="7E9150E5" w14:textId="77777777" w:rsidR="00C10182" w:rsidRPr="00C10182" w:rsidRDefault="00C10182" w:rsidP="00C10182">
      <w:pPr>
        <w:autoSpaceDE w:val="0"/>
        <w:autoSpaceDN w:val="0"/>
        <w:adjustRightInd w:val="0"/>
        <w:spacing w:line="480" w:lineRule="auto"/>
        <w:rPr>
          <w:color w:val="000000"/>
          <w:sz w:val="23"/>
          <w:szCs w:val="23"/>
        </w:rPr>
      </w:pPr>
      <w:proofErr w:type="gramStart"/>
      <w:r w:rsidRPr="00C10182">
        <w:rPr>
          <w:color w:val="000000"/>
          <w:sz w:val="23"/>
          <w:szCs w:val="23"/>
        </w:rPr>
        <w:t>2. So</w:t>
      </w:r>
      <w:proofErr w:type="gramEnd"/>
      <w:r w:rsidRPr="00C10182">
        <w:rPr>
          <w:color w:val="000000"/>
          <w:sz w:val="23"/>
          <w:szCs w:val="23"/>
        </w:rPr>
        <w:t xml:space="preserve"> thinking about the weight management programme you have undertaken, how did you find out about it? </w:t>
      </w:r>
    </w:p>
    <w:p w14:paraId="27D95170"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5715ED0F" w14:textId="40BAD667" w:rsidR="00C10182" w:rsidRPr="00C10182" w:rsidRDefault="00C10182" w:rsidP="00C10182">
      <w:pPr>
        <w:pStyle w:val="ListParagraph"/>
        <w:numPr>
          <w:ilvl w:val="0"/>
          <w:numId w:val="20"/>
        </w:numPr>
        <w:autoSpaceDE w:val="0"/>
        <w:autoSpaceDN w:val="0"/>
        <w:adjustRightInd w:val="0"/>
        <w:spacing w:after="322" w:line="480" w:lineRule="auto"/>
        <w:rPr>
          <w:color w:val="000000"/>
          <w:sz w:val="23"/>
          <w:szCs w:val="23"/>
        </w:rPr>
      </w:pPr>
      <w:r w:rsidRPr="00C10182">
        <w:rPr>
          <w:color w:val="000000"/>
          <w:sz w:val="23"/>
          <w:szCs w:val="23"/>
        </w:rPr>
        <w:t xml:space="preserve">Who / what motivated you to </w:t>
      </w:r>
      <w:proofErr w:type="gramStart"/>
      <w:r w:rsidRPr="00C10182">
        <w:rPr>
          <w:color w:val="000000"/>
          <w:sz w:val="23"/>
          <w:szCs w:val="23"/>
        </w:rPr>
        <w:t>attend?</w:t>
      </w:r>
      <w:proofErr w:type="gramEnd"/>
      <w:r w:rsidRPr="00C10182">
        <w:rPr>
          <w:color w:val="000000"/>
          <w:sz w:val="23"/>
          <w:szCs w:val="23"/>
        </w:rPr>
        <w:t xml:space="preserve"> </w:t>
      </w:r>
    </w:p>
    <w:p w14:paraId="7F343B34" w14:textId="69D9FCFF" w:rsidR="00C10182" w:rsidRPr="00C10182" w:rsidRDefault="00C10182" w:rsidP="00C10182">
      <w:pPr>
        <w:pStyle w:val="ListParagraph"/>
        <w:numPr>
          <w:ilvl w:val="0"/>
          <w:numId w:val="20"/>
        </w:numPr>
        <w:autoSpaceDE w:val="0"/>
        <w:autoSpaceDN w:val="0"/>
        <w:adjustRightInd w:val="0"/>
        <w:spacing w:after="322" w:line="480" w:lineRule="auto"/>
        <w:rPr>
          <w:color w:val="000000"/>
          <w:sz w:val="23"/>
          <w:szCs w:val="23"/>
        </w:rPr>
      </w:pPr>
      <w:r w:rsidRPr="00C10182">
        <w:rPr>
          <w:color w:val="000000"/>
          <w:sz w:val="23"/>
          <w:szCs w:val="23"/>
        </w:rPr>
        <w:t xml:space="preserve">What made you decide that this is the right time to look at managing your weight? </w:t>
      </w:r>
    </w:p>
    <w:p w14:paraId="11D0232B" w14:textId="5947720E"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 xml:space="preserve">Did the time of year make a difference? </w:t>
      </w:r>
    </w:p>
    <w:p w14:paraId="78E1E409" w14:textId="77777777" w:rsidR="00C10182" w:rsidRPr="00C10182" w:rsidRDefault="00C10182" w:rsidP="00C10182">
      <w:pPr>
        <w:autoSpaceDE w:val="0"/>
        <w:autoSpaceDN w:val="0"/>
        <w:adjustRightInd w:val="0"/>
        <w:spacing w:line="480" w:lineRule="auto"/>
        <w:rPr>
          <w:color w:val="000000"/>
          <w:sz w:val="23"/>
          <w:szCs w:val="23"/>
        </w:rPr>
      </w:pPr>
    </w:p>
    <w:p w14:paraId="0CF62F0C" w14:textId="77777777" w:rsidR="00C10182" w:rsidRPr="00C10182" w:rsidRDefault="00C10182" w:rsidP="00C10182">
      <w:pPr>
        <w:pageBreakBefore/>
        <w:autoSpaceDE w:val="0"/>
        <w:autoSpaceDN w:val="0"/>
        <w:adjustRightInd w:val="0"/>
        <w:spacing w:line="480" w:lineRule="auto"/>
        <w:rPr>
          <w:color w:val="000000"/>
          <w:sz w:val="23"/>
          <w:szCs w:val="23"/>
        </w:rPr>
      </w:pPr>
      <w:r w:rsidRPr="00C10182">
        <w:rPr>
          <w:color w:val="000000"/>
          <w:sz w:val="23"/>
          <w:szCs w:val="23"/>
        </w:rPr>
        <w:t xml:space="preserve">3. Thinking about your experience of when you </w:t>
      </w:r>
      <w:proofErr w:type="gramStart"/>
      <w:r w:rsidRPr="00C10182">
        <w:rPr>
          <w:color w:val="000000"/>
          <w:sz w:val="23"/>
          <w:szCs w:val="23"/>
        </w:rPr>
        <w:t>were referred</w:t>
      </w:r>
      <w:proofErr w:type="gramEnd"/>
      <w:r w:rsidRPr="00C10182">
        <w:rPr>
          <w:color w:val="000000"/>
          <w:sz w:val="23"/>
          <w:szCs w:val="23"/>
        </w:rPr>
        <w:t xml:space="preserve"> to the weight management programme, how did you find the process? </w:t>
      </w:r>
    </w:p>
    <w:p w14:paraId="5B77A9E9"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18BE4596" w14:textId="75CF1B0B"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What type of health professional referred you? (GP / Practice Nurse) </w:t>
      </w:r>
    </w:p>
    <w:p w14:paraId="56803B38" w14:textId="05CEFBA7"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iCs/>
          <w:color w:val="000000"/>
          <w:sz w:val="23"/>
          <w:szCs w:val="23"/>
        </w:rPr>
        <w:t xml:space="preserve">Did you specifically attend Primary Care to discuss your weight? </w:t>
      </w:r>
    </w:p>
    <w:p w14:paraId="106CC83C" w14:textId="56A99099"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How </w:t>
      </w:r>
      <w:proofErr w:type="gramStart"/>
      <w:r w:rsidRPr="00C10182">
        <w:rPr>
          <w:color w:val="000000"/>
          <w:sz w:val="23"/>
          <w:szCs w:val="23"/>
        </w:rPr>
        <w:t>was weight raised</w:t>
      </w:r>
      <w:proofErr w:type="gramEnd"/>
      <w:r w:rsidRPr="00C10182">
        <w:rPr>
          <w:color w:val="000000"/>
          <w:sz w:val="23"/>
          <w:szCs w:val="23"/>
        </w:rPr>
        <w:t xml:space="preserve">? </w:t>
      </w:r>
    </w:p>
    <w:p w14:paraId="384A670F" w14:textId="71FA46A0"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What did the referrer explain to you about the programme? Did you get enough information? </w:t>
      </w:r>
    </w:p>
    <w:p w14:paraId="19608C4F" w14:textId="514C57BD"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iCs/>
          <w:color w:val="000000"/>
          <w:sz w:val="23"/>
          <w:szCs w:val="23"/>
        </w:rPr>
        <w:t xml:space="preserve">How long was it from your referral from Primary Care to the first assessment in the weight management programme; was this what you expected? Were you still motivated? </w:t>
      </w:r>
    </w:p>
    <w:p w14:paraId="27F36EB8" w14:textId="77777777" w:rsidR="00C10182" w:rsidRPr="00C10182" w:rsidRDefault="00C10182" w:rsidP="00C10182">
      <w:pPr>
        <w:autoSpaceDE w:val="0"/>
        <w:autoSpaceDN w:val="0"/>
        <w:adjustRightInd w:val="0"/>
        <w:spacing w:line="480" w:lineRule="auto"/>
        <w:rPr>
          <w:color w:val="000000"/>
          <w:sz w:val="23"/>
          <w:szCs w:val="23"/>
        </w:rPr>
      </w:pPr>
    </w:p>
    <w:p w14:paraId="40EB4F47"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 xml:space="preserve">4. How did you feel about </w:t>
      </w:r>
      <w:proofErr w:type="gramStart"/>
      <w:r w:rsidRPr="00C10182">
        <w:rPr>
          <w:color w:val="000000"/>
          <w:sz w:val="23"/>
          <w:szCs w:val="23"/>
        </w:rPr>
        <w:t>being referred</w:t>
      </w:r>
      <w:proofErr w:type="gramEnd"/>
      <w:r w:rsidRPr="00C10182">
        <w:rPr>
          <w:color w:val="000000"/>
          <w:sz w:val="23"/>
          <w:szCs w:val="23"/>
        </w:rPr>
        <w:t xml:space="preserve">? </w:t>
      </w:r>
    </w:p>
    <w:p w14:paraId="1E4D26BE" w14:textId="0A7434A3" w:rsidR="00C10182" w:rsidRPr="00C10182" w:rsidRDefault="00C10182" w:rsidP="00C10182">
      <w:pPr>
        <w:autoSpaceDE w:val="0"/>
        <w:autoSpaceDN w:val="0"/>
        <w:adjustRightInd w:val="0"/>
        <w:spacing w:after="320" w:line="480" w:lineRule="auto"/>
        <w:rPr>
          <w:i/>
          <w:color w:val="000000"/>
          <w:sz w:val="23"/>
          <w:szCs w:val="23"/>
        </w:rPr>
      </w:pPr>
      <w:r w:rsidRPr="00C10182">
        <w:rPr>
          <w:i/>
          <w:color w:val="000000"/>
          <w:sz w:val="23"/>
          <w:szCs w:val="23"/>
        </w:rPr>
        <w:t xml:space="preserve">Prompts </w:t>
      </w:r>
    </w:p>
    <w:p w14:paraId="10D41999" w14:textId="04117A75"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How confident did you feel about taking part in the programme? </w:t>
      </w:r>
    </w:p>
    <w:p w14:paraId="33E6BC81" w14:textId="6416C362"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Was there anything that you were particularly looking forward </w:t>
      </w:r>
      <w:proofErr w:type="gramStart"/>
      <w:r w:rsidRPr="00C10182">
        <w:rPr>
          <w:color w:val="000000"/>
          <w:sz w:val="23"/>
          <w:szCs w:val="23"/>
        </w:rPr>
        <w:t>to</w:t>
      </w:r>
      <w:proofErr w:type="gramEnd"/>
      <w:r w:rsidRPr="00C10182">
        <w:rPr>
          <w:color w:val="000000"/>
          <w:sz w:val="23"/>
          <w:szCs w:val="23"/>
        </w:rPr>
        <w:t xml:space="preserve">? </w:t>
      </w:r>
    </w:p>
    <w:p w14:paraId="35DA6400" w14:textId="3A628CAE"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 xml:space="preserve">Was there anything that you were worried </w:t>
      </w:r>
      <w:proofErr w:type="gramStart"/>
      <w:r w:rsidRPr="00C10182">
        <w:rPr>
          <w:color w:val="000000"/>
          <w:sz w:val="23"/>
          <w:szCs w:val="23"/>
        </w:rPr>
        <w:t>about</w:t>
      </w:r>
      <w:proofErr w:type="gramEnd"/>
      <w:r w:rsidRPr="00C10182">
        <w:rPr>
          <w:color w:val="000000"/>
          <w:sz w:val="23"/>
          <w:szCs w:val="23"/>
        </w:rPr>
        <w:t xml:space="preserve">? </w:t>
      </w:r>
    </w:p>
    <w:p w14:paraId="163B2440" w14:textId="77777777" w:rsidR="00C10182" w:rsidRPr="00C10182" w:rsidRDefault="00C10182" w:rsidP="00C10182">
      <w:pPr>
        <w:autoSpaceDE w:val="0"/>
        <w:autoSpaceDN w:val="0"/>
        <w:adjustRightInd w:val="0"/>
        <w:spacing w:line="480" w:lineRule="auto"/>
        <w:rPr>
          <w:color w:val="000000"/>
          <w:sz w:val="23"/>
          <w:szCs w:val="23"/>
        </w:rPr>
      </w:pPr>
    </w:p>
    <w:p w14:paraId="75EA7354"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 xml:space="preserve">5. What did you hope to achieve by taking part in the weight management programme? </w:t>
      </w:r>
    </w:p>
    <w:p w14:paraId="3E5753AE" w14:textId="77777777" w:rsidR="00C10182" w:rsidRPr="00C10182" w:rsidRDefault="00C10182" w:rsidP="00C10182">
      <w:pPr>
        <w:autoSpaceDE w:val="0"/>
        <w:autoSpaceDN w:val="0"/>
        <w:adjustRightInd w:val="0"/>
        <w:spacing w:line="480" w:lineRule="auto"/>
        <w:rPr>
          <w:color w:val="000000"/>
          <w:sz w:val="23"/>
          <w:szCs w:val="23"/>
        </w:rPr>
      </w:pPr>
      <w:r w:rsidRPr="00C10182">
        <w:rPr>
          <w:i/>
          <w:iCs/>
          <w:color w:val="000000"/>
          <w:sz w:val="23"/>
          <w:szCs w:val="23"/>
        </w:rPr>
        <w:t xml:space="preserve">Prompts </w:t>
      </w:r>
    </w:p>
    <w:p w14:paraId="3731FEEC" w14:textId="3409BA38"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color w:val="000000"/>
          <w:sz w:val="23"/>
          <w:szCs w:val="23"/>
        </w:rPr>
        <w:t xml:space="preserve">What were your expectations when you start attending the scheme? </w:t>
      </w:r>
    </w:p>
    <w:p w14:paraId="140D6CDE" w14:textId="5D615BB3" w:rsidR="00C10182" w:rsidRPr="00C10182" w:rsidRDefault="00C10182" w:rsidP="00C10182">
      <w:pPr>
        <w:pStyle w:val="ListParagraph"/>
        <w:numPr>
          <w:ilvl w:val="0"/>
          <w:numId w:val="20"/>
        </w:numPr>
        <w:autoSpaceDE w:val="0"/>
        <w:autoSpaceDN w:val="0"/>
        <w:adjustRightInd w:val="0"/>
        <w:spacing w:after="320" w:line="480" w:lineRule="auto"/>
        <w:rPr>
          <w:color w:val="000000"/>
          <w:sz w:val="23"/>
          <w:szCs w:val="23"/>
        </w:rPr>
      </w:pPr>
      <w:r w:rsidRPr="00C10182">
        <w:rPr>
          <w:iCs/>
          <w:color w:val="000000"/>
          <w:sz w:val="23"/>
          <w:szCs w:val="23"/>
        </w:rPr>
        <w:t xml:space="preserve">Have there been changes to your health that you expected happen </w:t>
      </w:r>
      <w:proofErr w:type="gramStart"/>
      <w:r w:rsidRPr="00C10182">
        <w:rPr>
          <w:iCs/>
          <w:color w:val="000000"/>
          <w:sz w:val="23"/>
          <w:szCs w:val="23"/>
        </w:rPr>
        <w:t>as a result</w:t>
      </w:r>
      <w:proofErr w:type="gramEnd"/>
      <w:r w:rsidRPr="00C10182">
        <w:rPr>
          <w:iCs/>
          <w:color w:val="000000"/>
          <w:sz w:val="23"/>
          <w:szCs w:val="23"/>
        </w:rPr>
        <w:t xml:space="preserve"> of participation? </w:t>
      </w:r>
    </w:p>
    <w:p w14:paraId="62163EE9" w14:textId="38478D02"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 xml:space="preserve">How quickly did you expect to see these changes? </w:t>
      </w:r>
      <w:proofErr w:type="gramStart"/>
      <w:r w:rsidRPr="00C10182">
        <w:rPr>
          <w:color w:val="000000"/>
          <w:sz w:val="23"/>
          <w:szCs w:val="23"/>
        </w:rPr>
        <w:t>And</w:t>
      </w:r>
      <w:proofErr w:type="gramEnd"/>
      <w:r w:rsidRPr="00C10182">
        <w:rPr>
          <w:color w:val="000000"/>
          <w:sz w:val="23"/>
          <w:szCs w:val="23"/>
        </w:rPr>
        <w:t xml:space="preserve"> did this happen? </w:t>
      </w:r>
    </w:p>
    <w:p w14:paraId="0A786EAD" w14:textId="77777777" w:rsidR="00C10182" w:rsidRPr="00C10182" w:rsidRDefault="00C10182" w:rsidP="00C10182">
      <w:pPr>
        <w:autoSpaceDE w:val="0"/>
        <w:autoSpaceDN w:val="0"/>
        <w:adjustRightInd w:val="0"/>
        <w:spacing w:line="480" w:lineRule="auto"/>
        <w:rPr>
          <w:color w:val="000000"/>
          <w:sz w:val="23"/>
          <w:szCs w:val="23"/>
        </w:rPr>
      </w:pPr>
    </w:p>
    <w:p w14:paraId="493AAA41"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 xml:space="preserve">6. Thinking about after you </w:t>
      </w:r>
      <w:proofErr w:type="gramStart"/>
      <w:r w:rsidRPr="00C10182">
        <w:rPr>
          <w:color w:val="000000"/>
          <w:sz w:val="23"/>
          <w:szCs w:val="23"/>
        </w:rPr>
        <w:t>were referred</w:t>
      </w:r>
      <w:proofErr w:type="gramEnd"/>
      <w:r w:rsidRPr="00C10182">
        <w:rPr>
          <w:color w:val="000000"/>
          <w:sz w:val="23"/>
          <w:szCs w:val="23"/>
        </w:rPr>
        <w:t xml:space="preserve">, what happened next? </w:t>
      </w:r>
    </w:p>
    <w:p w14:paraId="13AAF6C6" w14:textId="6E0415FC" w:rsidR="00C10182" w:rsidRDefault="00C10182" w:rsidP="00C10182">
      <w:pPr>
        <w:autoSpaceDE w:val="0"/>
        <w:autoSpaceDN w:val="0"/>
        <w:adjustRightInd w:val="0"/>
        <w:spacing w:line="480" w:lineRule="auto"/>
        <w:rPr>
          <w:i/>
          <w:iCs/>
          <w:color w:val="000000"/>
          <w:sz w:val="23"/>
          <w:szCs w:val="23"/>
        </w:rPr>
      </w:pPr>
      <w:r w:rsidRPr="00C10182">
        <w:rPr>
          <w:i/>
          <w:iCs/>
          <w:color w:val="000000"/>
          <w:sz w:val="23"/>
          <w:szCs w:val="23"/>
        </w:rPr>
        <w:t>Prompts</w:t>
      </w:r>
    </w:p>
    <w:p w14:paraId="5F208C18" w14:textId="77777777" w:rsidR="00C10182" w:rsidRPr="00C10182" w:rsidRDefault="00C10182" w:rsidP="00C10182">
      <w:pPr>
        <w:pStyle w:val="ListParagraph"/>
        <w:numPr>
          <w:ilvl w:val="0"/>
          <w:numId w:val="30"/>
        </w:numPr>
        <w:autoSpaceDE w:val="0"/>
        <w:autoSpaceDN w:val="0"/>
        <w:adjustRightInd w:val="0"/>
        <w:spacing w:line="480" w:lineRule="auto"/>
        <w:rPr>
          <w:color w:val="000000"/>
          <w:sz w:val="23"/>
          <w:szCs w:val="23"/>
        </w:rPr>
      </w:pPr>
      <w:r w:rsidRPr="00C10182">
        <w:rPr>
          <w:color w:val="000000"/>
          <w:sz w:val="23"/>
          <w:szCs w:val="23"/>
        </w:rPr>
        <w:t xml:space="preserve">How long after </w:t>
      </w:r>
      <w:proofErr w:type="gramStart"/>
      <w:r w:rsidRPr="00C10182">
        <w:rPr>
          <w:color w:val="000000"/>
          <w:sz w:val="23"/>
          <w:szCs w:val="23"/>
        </w:rPr>
        <w:t>referral</w:t>
      </w:r>
      <w:proofErr w:type="gramEnd"/>
      <w:r w:rsidRPr="00C10182">
        <w:rPr>
          <w:color w:val="000000"/>
          <w:sz w:val="23"/>
          <w:szCs w:val="23"/>
        </w:rPr>
        <w:t xml:space="preserve"> did it take to be contacted by the Active Northumberland?</w:t>
      </w:r>
    </w:p>
    <w:p w14:paraId="7EAB6ACD" w14:textId="25F139EA"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What information did you receive prior to the initial consultation?</w:t>
      </w:r>
    </w:p>
    <w:p w14:paraId="112D44DE" w14:textId="48627E56" w:rsid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How comfortable did you feel coming to the initial consultation?</w:t>
      </w:r>
    </w:p>
    <w:p w14:paraId="0595840F" w14:textId="77777777" w:rsidR="00C10182" w:rsidRPr="00C10182" w:rsidRDefault="00C10182" w:rsidP="00C10182">
      <w:pPr>
        <w:pStyle w:val="ListParagraph"/>
        <w:autoSpaceDE w:val="0"/>
        <w:autoSpaceDN w:val="0"/>
        <w:adjustRightInd w:val="0"/>
        <w:spacing w:line="480" w:lineRule="auto"/>
        <w:rPr>
          <w:color w:val="000000"/>
          <w:sz w:val="23"/>
          <w:szCs w:val="23"/>
        </w:rPr>
      </w:pPr>
    </w:p>
    <w:p w14:paraId="10B7BF02"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7. What influenced you most to attend the weight management programme?</w:t>
      </w:r>
    </w:p>
    <w:p w14:paraId="742778B4" w14:textId="77777777" w:rsidR="00C10182" w:rsidRPr="00C10182" w:rsidRDefault="00C10182" w:rsidP="00C10182">
      <w:pPr>
        <w:autoSpaceDE w:val="0"/>
        <w:autoSpaceDN w:val="0"/>
        <w:adjustRightInd w:val="0"/>
        <w:spacing w:line="480" w:lineRule="auto"/>
        <w:rPr>
          <w:i/>
          <w:color w:val="000000"/>
          <w:sz w:val="23"/>
          <w:szCs w:val="23"/>
        </w:rPr>
      </w:pPr>
      <w:r w:rsidRPr="00C10182">
        <w:rPr>
          <w:i/>
          <w:color w:val="000000"/>
          <w:sz w:val="23"/>
          <w:szCs w:val="23"/>
        </w:rPr>
        <w:t>Prompts</w:t>
      </w:r>
    </w:p>
    <w:p w14:paraId="294E8E73" w14:textId="7D93BE80"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What did you expect from the staff?</w:t>
      </w:r>
    </w:p>
    <w:p w14:paraId="45BB8B66" w14:textId="396906CC"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How important to you were changes in health or weight?</w:t>
      </w:r>
    </w:p>
    <w:p w14:paraId="46DF95AE" w14:textId="2F1653C2" w:rsid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Why were the influences raised important?</w:t>
      </w:r>
    </w:p>
    <w:p w14:paraId="069804A2" w14:textId="77777777" w:rsidR="00C10182" w:rsidRPr="00C10182" w:rsidRDefault="00C10182" w:rsidP="00C10182">
      <w:pPr>
        <w:autoSpaceDE w:val="0"/>
        <w:autoSpaceDN w:val="0"/>
        <w:adjustRightInd w:val="0"/>
        <w:spacing w:line="480" w:lineRule="auto"/>
        <w:ind w:left="360"/>
        <w:rPr>
          <w:color w:val="000000"/>
          <w:sz w:val="23"/>
          <w:szCs w:val="23"/>
        </w:rPr>
      </w:pPr>
    </w:p>
    <w:p w14:paraId="0A7E14F2" w14:textId="77777777" w:rsidR="00C10182" w:rsidRPr="00C10182" w:rsidRDefault="00C10182" w:rsidP="00C10182">
      <w:pPr>
        <w:autoSpaceDE w:val="0"/>
        <w:autoSpaceDN w:val="0"/>
        <w:adjustRightInd w:val="0"/>
        <w:spacing w:line="480" w:lineRule="auto"/>
        <w:rPr>
          <w:color w:val="000000"/>
          <w:sz w:val="23"/>
          <w:szCs w:val="23"/>
        </w:rPr>
      </w:pPr>
      <w:r w:rsidRPr="00C10182">
        <w:rPr>
          <w:color w:val="000000"/>
          <w:sz w:val="23"/>
          <w:szCs w:val="23"/>
        </w:rPr>
        <w:t>8. What things were most likely to prevent you from attending the programme?</w:t>
      </w:r>
    </w:p>
    <w:p w14:paraId="21F64E80" w14:textId="77777777" w:rsidR="00C10182" w:rsidRPr="00C10182" w:rsidRDefault="00C10182" w:rsidP="00C10182">
      <w:pPr>
        <w:autoSpaceDE w:val="0"/>
        <w:autoSpaceDN w:val="0"/>
        <w:adjustRightInd w:val="0"/>
        <w:spacing w:line="480" w:lineRule="auto"/>
        <w:rPr>
          <w:i/>
          <w:color w:val="000000"/>
          <w:sz w:val="23"/>
          <w:szCs w:val="23"/>
        </w:rPr>
      </w:pPr>
      <w:r w:rsidRPr="00C10182">
        <w:rPr>
          <w:i/>
          <w:color w:val="000000"/>
          <w:sz w:val="23"/>
          <w:szCs w:val="23"/>
        </w:rPr>
        <w:t>Prompts</w:t>
      </w:r>
    </w:p>
    <w:p w14:paraId="012E3C07" w14:textId="2F367DFB"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Tell me about any worries you might have had about health issues.</w:t>
      </w:r>
    </w:p>
    <w:p w14:paraId="65C17C82" w14:textId="25214BB0"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Tell me about any other things, such as other commitments, that might have stopped you from attending</w:t>
      </w:r>
    </w:p>
    <w:p w14:paraId="4AD26842" w14:textId="5C8D4366" w:rsid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Did any of these issues arise? How did you overcome these issues?</w:t>
      </w:r>
    </w:p>
    <w:p w14:paraId="325F8E93" w14:textId="77777777" w:rsidR="00C10182" w:rsidRPr="00C10182" w:rsidRDefault="00C10182" w:rsidP="00C10182">
      <w:pPr>
        <w:autoSpaceDE w:val="0"/>
        <w:autoSpaceDN w:val="0"/>
        <w:adjustRightInd w:val="0"/>
        <w:spacing w:line="480" w:lineRule="auto"/>
        <w:ind w:left="360"/>
        <w:rPr>
          <w:color w:val="000000"/>
          <w:sz w:val="23"/>
          <w:szCs w:val="23"/>
        </w:rPr>
      </w:pPr>
    </w:p>
    <w:p w14:paraId="04F699E6" w14:textId="77777777" w:rsidR="00C10182" w:rsidRPr="00C10182" w:rsidRDefault="00C10182" w:rsidP="00C10182">
      <w:pPr>
        <w:autoSpaceDE w:val="0"/>
        <w:autoSpaceDN w:val="0"/>
        <w:adjustRightInd w:val="0"/>
        <w:spacing w:line="480" w:lineRule="auto"/>
        <w:rPr>
          <w:color w:val="000000"/>
          <w:sz w:val="23"/>
          <w:szCs w:val="23"/>
        </w:rPr>
      </w:pPr>
      <w:proofErr w:type="gramStart"/>
      <w:r w:rsidRPr="00C10182">
        <w:rPr>
          <w:color w:val="000000"/>
          <w:sz w:val="23"/>
          <w:szCs w:val="23"/>
        </w:rPr>
        <w:t>9. Now that you have completed the programme, tell me how did you felt about undertaking the weight management programme?</w:t>
      </w:r>
      <w:proofErr w:type="gramEnd"/>
    </w:p>
    <w:p w14:paraId="037AD1F1" w14:textId="77777777" w:rsidR="00C10182" w:rsidRPr="00C10182" w:rsidRDefault="00C10182" w:rsidP="00C10182">
      <w:pPr>
        <w:autoSpaceDE w:val="0"/>
        <w:autoSpaceDN w:val="0"/>
        <w:adjustRightInd w:val="0"/>
        <w:spacing w:line="480" w:lineRule="auto"/>
        <w:rPr>
          <w:i/>
          <w:color w:val="000000"/>
          <w:sz w:val="23"/>
          <w:szCs w:val="23"/>
        </w:rPr>
      </w:pPr>
      <w:r w:rsidRPr="00C10182">
        <w:rPr>
          <w:i/>
          <w:color w:val="000000"/>
          <w:sz w:val="23"/>
          <w:szCs w:val="23"/>
        </w:rPr>
        <w:t>Prompts</w:t>
      </w:r>
    </w:p>
    <w:p w14:paraId="19D4C5AC" w14:textId="62158DAD"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Did you achieve the health / weight outcomes you expected?</w:t>
      </w:r>
    </w:p>
    <w:p w14:paraId="12B01707" w14:textId="229265F2"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Why do you think it worked or not for you?</w:t>
      </w:r>
    </w:p>
    <w:p w14:paraId="08701C39" w14:textId="15131AC0"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Do you feel you now have the tools to continue to make positive lifestyle choices?</w:t>
      </w:r>
    </w:p>
    <w:p w14:paraId="4FF75E6B" w14:textId="1860A315" w:rsidR="00C10182" w:rsidRPr="00C10182" w:rsidRDefault="00C10182" w:rsidP="00C10182">
      <w:pPr>
        <w:pStyle w:val="ListParagraph"/>
        <w:numPr>
          <w:ilvl w:val="0"/>
          <w:numId w:val="20"/>
        </w:numPr>
        <w:autoSpaceDE w:val="0"/>
        <w:autoSpaceDN w:val="0"/>
        <w:adjustRightInd w:val="0"/>
        <w:spacing w:line="480" w:lineRule="auto"/>
        <w:rPr>
          <w:color w:val="000000"/>
          <w:sz w:val="23"/>
          <w:szCs w:val="23"/>
        </w:rPr>
      </w:pPr>
      <w:r w:rsidRPr="00C10182">
        <w:rPr>
          <w:color w:val="000000"/>
          <w:sz w:val="23"/>
          <w:szCs w:val="23"/>
        </w:rPr>
        <w:t>Is there something that will prevent you to continue to make positive lifestyle choices?</w:t>
      </w:r>
    </w:p>
    <w:p w14:paraId="1420C5B6" w14:textId="64687BBF" w:rsidR="00C10182" w:rsidRDefault="00C10182" w:rsidP="00C10182">
      <w:pPr>
        <w:autoSpaceDE w:val="0"/>
        <w:autoSpaceDN w:val="0"/>
        <w:adjustRightInd w:val="0"/>
        <w:spacing w:line="480" w:lineRule="auto"/>
        <w:rPr>
          <w:color w:val="000000"/>
          <w:sz w:val="23"/>
          <w:szCs w:val="23"/>
        </w:rPr>
      </w:pPr>
      <w:r w:rsidRPr="00C10182">
        <w:rPr>
          <w:color w:val="000000"/>
          <w:sz w:val="23"/>
          <w:szCs w:val="23"/>
        </w:rPr>
        <w:t>10. Is there anything else that you would like to tell me about your expectations and experiences of the weight management programme?</w:t>
      </w:r>
    </w:p>
    <w:p w14:paraId="176035CA" w14:textId="312C31BB" w:rsidR="00C10182" w:rsidRDefault="00C10182" w:rsidP="00C10182">
      <w:pPr>
        <w:autoSpaceDE w:val="0"/>
        <w:autoSpaceDN w:val="0"/>
        <w:adjustRightInd w:val="0"/>
        <w:spacing w:line="480" w:lineRule="auto"/>
        <w:rPr>
          <w:color w:val="000000"/>
          <w:sz w:val="23"/>
          <w:szCs w:val="23"/>
        </w:rPr>
      </w:pPr>
    </w:p>
    <w:p w14:paraId="077C9F70" w14:textId="77777777" w:rsidR="00C10182" w:rsidRPr="00C10182" w:rsidRDefault="00C10182" w:rsidP="00C10182">
      <w:pPr>
        <w:autoSpaceDE w:val="0"/>
        <w:autoSpaceDN w:val="0"/>
        <w:adjustRightInd w:val="0"/>
        <w:spacing w:line="480" w:lineRule="auto"/>
        <w:rPr>
          <w:color w:val="000000"/>
          <w:sz w:val="23"/>
          <w:szCs w:val="23"/>
        </w:rPr>
      </w:pPr>
    </w:p>
    <w:p w14:paraId="6E2D3F45" w14:textId="77777777" w:rsidR="00C10182" w:rsidRPr="00C10182" w:rsidRDefault="00C10182" w:rsidP="00C10182">
      <w:pPr>
        <w:pageBreakBefore/>
        <w:autoSpaceDE w:val="0"/>
        <w:autoSpaceDN w:val="0"/>
        <w:adjustRightInd w:val="0"/>
        <w:spacing w:line="480" w:lineRule="auto"/>
        <w:rPr>
          <w:color w:val="000000"/>
          <w:sz w:val="23"/>
          <w:szCs w:val="23"/>
        </w:rPr>
      </w:pPr>
    </w:p>
    <w:p w14:paraId="24AC014C" w14:textId="7CEC12EE" w:rsidR="009C7462" w:rsidRPr="00520C7C" w:rsidRDefault="009C7462" w:rsidP="00C10182">
      <w:pPr>
        <w:spacing w:after="200" w:line="480" w:lineRule="auto"/>
        <w:rPr>
          <w:rFonts w:eastAsia="MS PGothic"/>
          <w:sz w:val="12"/>
        </w:rPr>
      </w:pPr>
    </w:p>
    <w:sectPr w:rsidR="009C7462" w:rsidRPr="00520C7C" w:rsidSect="006928E6">
      <w:headerReference w:type="default" r:id="rId20"/>
      <w:footerReference w:type="default" r:id="rId21"/>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31128" w14:textId="77777777" w:rsidR="00C10182" w:rsidRDefault="00C10182" w:rsidP="0015428E">
      <w:r>
        <w:separator/>
      </w:r>
    </w:p>
  </w:endnote>
  <w:endnote w:type="continuationSeparator" w:id="0">
    <w:p w14:paraId="487199C0" w14:textId="77777777" w:rsidR="00C10182" w:rsidRDefault="00C10182" w:rsidP="0015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192364"/>
      <w:docPartObj>
        <w:docPartGallery w:val="Page Numbers (Bottom of Page)"/>
        <w:docPartUnique/>
      </w:docPartObj>
    </w:sdtPr>
    <w:sdtEndPr>
      <w:rPr>
        <w:noProof/>
      </w:rPr>
    </w:sdtEndPr>
    <w:sdtContent>
      <w:p w14:paraId="400A217D" w14:textId="2F177238" w:rsidR="00C10182" w:rsidRDefault="00C10182">
        <w:pPr>
          <w:pStyle w:val="Footer"/>
          <w:jc w:val="center"/>
        </w:pPr>
        <w:r>
          <w:fldChar w:fldCharType="begin"/>
        </w:r>
        <w:r>
          <w:instrText xml:space="preserve"> PAGE   \* MERGEFORMAT </w:instrText>
        </w:r>
        <w:r>
          <w:fldChar w:fldCharType="separate"/>
        </w:r>
        <w:r w:rsidR="00FF4935">
          <w:rPr>
            <w:noProof/>
          </w:rPr>
          <w:t>41</w:t>
        </w:r>
        <w:r>
          <w:rPr>
            <w:noProof/>
          </w:rPr>
          <w:fldChar w:fldCharType="end"/>
        </w:r>
      </w:p>
    </w:sdtContent>
  </w:sdt>
  <w:p w14:paraId="5FB3850F" w14:textId="77777777" w:rsidR="00C10182" w:rsidRDefault="00C1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AA3B" w14:textId="77777777" w:rsidR="00C10182" w:rsidRDefault="00C10182" w:rsidP="0015428E">
      <w:r>
        <w:separator/>
      </w:r>
    </w:p>
  </w:footnote>
  <w:footnote w:type="continuationSeparator" w:id="0">
    <w:p w14:paraId="33DAC205" w14:textId="77777777" w:rsidR="00C10182" w:rsidRDefault="00C10182" w:rsidP="00154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6D64" w14:textId="62E4D039" w:rsidR="00C10182" w:rsidRDefault="00C10182">
    <w:pPr>
      <w:pStyle w:val="Header"/>
    </w:pPr>
    <w:r>
      <w:tab/>
    </w:r>
  </w:p>
  <w:p w14:paraId="3B1B5F82" w14:textId="77777777" w:rsidR="00C10182" w:rsidRDefault="00C10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86E19"/>
    <w:multiLevelType w:val="hybridMultilevel"/>
    <w:tmpl w:val="1100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C3709"/>
    <w:multiLevelType w:val="hybridMultilevel"/>
    <w:tmpl w:val="3BEE7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A4E29"/>
    <w:multiLevelType w:val="multilevel"/>
    <w:tmpl w:val="9F74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67E87"/>
    <w:multiLevelType w:val="hybridMultilevel"/>
    <w:tmpl w:val="C040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04087"/>
    <w:multiLevelType w:val="hybridMultilevel"/>
    <w:tmpl w:val="6EFE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067E"/>
    <w:multiLevelType w:val="hybridMultilevel"/>
    <w:tmpl w:val="1E60C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3292A"/>
    <w:multiLevelType w:val="hybridMultilevel"/>
    <w:tmpl w:val="F5E63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44554"/>
    <w:multiLevelType w:val="hybridMultilevel"/>
    <w:tmpl w:val="C6BE0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04B2C"/>
    <w:multiLevelType w:val="hybridMultilevel"/>
    <w:tmpl w:val="4ABA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22847"/>
    <w:multiLevelType w:val="hybridMultilevel"/>
    <w:tmpl w:val="D7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55BC9"/>
    <w:multiLevelType w:val="hybridMultilevel"/>
    <w:tmpl w:val="89261708"/>
    <w:lvl w:ilvl="0" w:tplc="D7BCC484">
      <w:start w:val="1"/>
      <w:numFmt w:val="decimal"/>
      <w:lvlText w:val="%1."/>
      <w:lvlJc w:val="left"/>
      <w:pPr>
        <w:ind w:left="785"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94D47"/>
    <w:multiLevelType w:val="hybridMultilevel"/>
    <w:tmpl w:val="C9B6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D2ED3"/>
    <w:multiLevelType w:val="hybridMultilevel"/>
    <w:tmpl w:val="FE10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C4F4D"/>
    <w:multiLevelType w:val="multilevel"/>
    <w:tmpl w:val="E2D6E2DE"/>
    <w:lvl w:ilvl="0">
      <w:start w:val="1"/>
      <w:numFmt w:val="decimal"/>
      <w:lvlText w:val="%1."/>
      <w:lvlJc w:val="left"/>
      <w:pPr>
        <w:tabs>
          <w:tab w:val="num" w:pos="720"/>
        </w:tabs>
        <w:ind w:left="720" w:hanging="360"/>
      </w:pPr>
      <w:rPr>
        <w:b/>
        <w:i w:val="0"/>
        <w:color w:val="auto"/>
      </w:r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A18EA"/>
    <w:multiLevelType w:val="hybridMultilevel"/>
    <w:tmpl w:val="2370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248F0"/>
    <w:multiLevelType w:val="hybridMultilevel"/>
    <w:tmpl w:val="C65C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F6F5E"/>
    <w:multiLevelType w:val="hybridMultilevel"/>
    <w:tmpl w:val="4DD66F34"/>
    <w:lvl w:ilvl="0" w:tplc="AE0A4E00">
      <w:start w:val="1"/>
      <w:numFmt w:val="bullet"/>
      <w:lvlText w:val="•"/>
      <w:lvlJc w:val="left"/>
      <w:pPr>
        <w:tabs>
          <w:tab w:val="num" w:pos="720"/>
        </w:tabs>
        <w:ind w:left="720" w:hanging="360"/>
      </w:pPr>
      <w:rPr>
        <w:rFonts w:ascii="Times New Roman" w:hAnsi="Times New Roman" w:hint="default"/>
      </w:rPr>
    </w:lvl>
    <w:lvl w:ilvl="1" w:tplc="D5628B60" w:tentative="1">
      <w:start w:val="1"/>
      <w:numFmt w:val="bullet"/>
      <w:lvlText w:val="•"/>
      <w:lvlJc w:val="left"/>
      <w:pPr>
        <w:tabs>
          <w:tab w:val="num" w:pos="1440"/>
        </w:tabs>
        <w:ind w:left="1440" w:hanging="360"/>
      </w:pPr>
      <w:rPr>
        <w:rFonts w:ascii="Times New Roman" w:hAnsi="Times New Roman" w:hint="default"/>
      </w:rPr>
    </w:lvl>
    <w:lvl w:ilvl="2" w:tplc="8012B710" w:tentative="1">
      <w:start w:val="1"/>
      <w:numFmt w:val="bullet"/>
      <w:lvlText w:val="•"/>
      <w:lvlJc w:val="left"/>
      <w:pPr>
        <w:tabs>
          <w:tab w:val="num" w:pos="2160"/>
        </w:tabs>
        <w:ind w:left="2160" w:hanging="360"/>
      </w:pPr>
      <w:rPr>
        <w:rFonts w:ascii="Times New Roman" w:hAnsi="Times New Roman" w:hint="default"/>
      </w:rPr>
    </w:lvl>
    <w:lvl w:ilvl="3" w:tplc="8EBEAEB2" w:tentative="1">
      <w:start w:val="1"/>
      <w:numFmt w:val="bullet"/>
      <w:lvlText w:val="•"/>
      <w:lvlJc w:val="left"/>
      <w:pPr>
        <w:tabs>
          <w:tab w:val="num" w:pos="2880"/>
        </w:tabs>
        <w:ind w:left="2880" w:hanging="360"/>
      </w:pPr>
      <w:rPr>
        <w:rFonts w:ascii="Times New Roman" w:hAnsi="Times New Roman" w:hint="default"/>
      </w:rPr>
    </w:lvl>
    <w:lvl w:ilvl="4" w:tplc="8F6CBD82" w:tentative="1">
      <w:start w:val="1"/>
      <w:numFmt w:val="bullet"/>
      <w:lvlText w:val="•"/>
      <w:lvlJc w:val="left"/>
      <w:pPr>
        <w:tabs>
          <w:tab w:val="num" w:pos="3600"/>
        </w:tabs>
        <w:ind w:left="3600" w:hanging="360"/>
      </w:pPr>
      <w:rPr>
        <w:rFonts w:ascii="Times New Roman" w:hAnsi="Times New Roman" w:hint="default"/>
      </w:rPr>
    </w:lvl>
    <w:lvl w:ilvl="5" w:tplc="BDAC049C" w:tentative="1">
      <w:start w:val="1"/>
      <w:numFmt w:val="bullet"/>
      <w:lvlText w:val="•"/>
      <w:lvlJc w:val="left"/>
      <w:pPr>
        <w:tabs>
          <w:tab w:val="num" w:pos="4320"/>
        </w:tabs>
        <w:ind w:left="4320" w:hanging="360"/>
      </w:pPr>
      <w:rPr>
        <w:rFonts w:ascii="Times New Roman" w:hAnsi="Times New Roman" w:hint="default"/>
      </w:rPr>
    </w:lvl>
    <w:lvl w:ilvl="6" w:tplc="4B80F9F4" w:tentative="1">
      <w:start w:val="1"/>
      <w:numFmt w:val="bullet"/>
      <w:lvlText w:val="•"/>
      <w:lvlJc w:val="left"/>
      <w:pPr>
        <w:tabs>
          <w:tab w:val="num" w:pos="5040"/>
        </w:tabs>
        <w:ind w:left="5040" w:hanging="360"/>
      </w:pPr>
      <w:rPr>
        <w:rFonts w:ascii="Times New Roman" w:hAnsi="Times New Roman" w:hint="default"/>
      </w:rPr>
    </w:lvl>
    <w:lvl w:ilvl="7" w:tplc="BC2A37CE" w:tentative="1">
      <w:start w:val="1"/>
      <w:numFmt w:val="bullet"/>
      <w:lvlText w:val="•"/>
      <w:lvlJc w:val="left"/>
      <w:pPr>
        <w:tabs>
          <w:tab w:val="num" w:pos="5760"/>
        </w:tabs>
        <w:ind w:left="5760" w:hanging="360"/>
      </w:pPr>
      <w:rPr>
        <w:rFonts w:ascii="Times New Roman" w:hAnsi="Times New Roman" w:hint="default"/>
      </w:rPr>
    </w:lvl>
    <w:lvl w:ilvl="8" w:tplc="3AB6C50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79E33CA"/>
    <w:multiLevelType w:val="hybridMultilevel"/>
    <w:tmpl w:val="1712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C6CF8"/>
    <w:multiLevelType w:val="multilevel"/>
    <w:tmpl w:val="4E88349A"/>
    <w:lvl w:ilvl="0">
      <w:numFmt w:val="decimal"/>
      <w:lvlText w:val="%1.0"/>
      <w:lvlJc w:val="left"/>
      <w:pPr>
        <w:ind w:left="420" w:hanging="360"/>
      </w:pPr>
      <w:rPr>
        <w:rFonts w:eastAsia="Times New Roman" w:hint="default"/>
      </w:rPr>
    </w:lvl>
    <w:lvl w:ilvl="1">
      <w:start w:val="1"/>
      <w:numFmt w:val="decimal"/>
      <w:lvlText w:val="%1.%2"/>
      <w:lvlJc w:val="left"/>
      <w:pPr>
        <w:ind w:left="1140" w:hanging="360"/>
      </w:pPr>
      <w:rPr>
        <w:rFonts w:eastAsia="Times New Roman" w:hint="default"/>
      </w:rPr>
    </w:lvl>
    <w:lvl w:ilvl="2">
      <w:start w:val="1"/>
      <w:numFmt w:val="decimal"/>
      <w:lvlText w:val="%1.%2.%3"/>
      <w:lvlJc w:val="left"/>
      <w:pPr>
        <w:ind w:left="2220" w:hanging="720"/>
      </w:pPr>
      <w:rPr>
        <w:rFonts w:eastAsia="Times New Roman" w:hint="default"/>
      </w:rPr>
    </w:lvl>
    <w:lvl w:ilvl="3">
      <w:start w:val="1"/>
      <w:numFmt w:val="decimal"/>
      <w:lvlText w:val="%1.%2.%3.%4"/>
      <w:lvlJc w:val="left"/>
      <w:pPr>
        <w:ind w:left="2940" w:hanging="720"/>
      </w:pPr>
      <w:rPr>
        <w:rFonts w:eastAsia="Times New Roman" w:hint="default"/>
      </w:rPr>
    </w:lvl>
    <w:lvl w:ilvl="4">
      <w:start w:val="1"/>
      <w:numFmt w:val="decimal"/>
      <w:lvlText w:val="%1.%2.%3.%4.%5"/>
      <w:lvlJc w:val="left"/>
      <w:pPr>
        <w:ind w:left="4020" w:hanging="1080"/>
      </w:pPr>
      <w:rPr>
        <w:rFonts w:eastAsia="Times New Roman" w:hint="default"/>
      </w:rPr>
    </w:lvl>
    <w:lvl w:ilvl="5">
      <w:start w:val="1"/>
      <w:numFmt w:val="decimal"/>
      <w:lvlText w:val="%1.%2.%3.%4.%5.%6"/>
      <w:lvlJc w:val="left"/>
      <w:pPr>
        <w:ind w:left="4740" w:hanging="1080"/>
      </w:pPr>
      <w:rPr>
        <w:rFonts w:eastAsia="Times New Roman" w:hint="default"/>
      </w:rPr>
    </w:lvl>
    <w:lvl w:ilvl="6">
      <w:start w:val="1"/>
      <w:numFmt w:val="decimal"/>
      <w:lvlText w:val="%1.%2.%3.%4.%5.%6.%7"/>
      <w:lvlJc w:val="left"/>
      <w:pPr>
        <w:ind w:left="5820" w:hanging="1440"/>
      </w:pPr>
      <w:rPr>
        <w:rFonts w:eastAsia="Times New Roman" w:hint="default"/>
      </w:rPr>
    </w:lvl>
    <w:lvl w:ilvl="7">
      <w:start w:val="1"/>
      <w:numFmt w:val="decimal"/>
      <w:lvlText w:val="%1.%2.%3.%4.%5.%6.%7.%8"/>
      <w:lvlJc w:val="left"/>
      <w:pPr>
        <w:ind w:left="6540" w:hanging="1440"/>
      </w:pPr>
      <w:rPr>
        <w:rFonts w:eastAsia="Times New Roman" w:hint="default"/>
      </w:rPr>
    </w:lvl>
    <w:lvl w:ilvl="8">
      <w:start w:val="1"/>
      <w:numFmt w:val="decimal"/>
      <w:lvlText w:val="%1.%2.%3.%4.%5.%6.%7.%8.%9"/>
      <w:lvlJc w:val="left"/>
      <w:pPr>
        <w:ind w:left="7260" w:hanging="1440"/>
      </w:pPr>
      <w:rPr>
        <w:rFonts w:eastAsia="Times New Roman" w:hint="default"/>
      </w:rPr>
    </w:lvl>
  </w:abstractNum>
  <w:abstractNum w:abstractNumId="20" w15:restartNumberingAfterBreak="0">
    <w:nsid w:val="50C5539B"/>
    <w:multiLevelType w:val="hybridMultilevel"/>
    <w:tmpl w:val="2CCC0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D254E"/>
    <w:multiLevelType w:val="hybridMultilevel"/>
    <w:tmpl w:val="AF14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36482"/>
    <w:multiLevelType w:val="hybridMultilevel"/>
    <w:tmpl w:val="58E8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E2BFB"/>
    <w:multiLevelType w:val="hybridMultilevel"/>
    <w:tmpl w:val="C24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F65DB"/>
    <w:multiLevelType w:val="hybridMultilevel"/>
    <w:tmpl w:val="786EAB0C"/>
    <w:lvl w:ilvl="0" w:tplc="5B985338">
      <w:start w:val="1"/>
      <w:numFmt w:val="bullet"/>
      <w:lvlText w:val="•"/>
      <w:lvlJc w:val="left"/>
      <w:pPr>
        <w:tabs>
          <w:tab w:val="num" w:pos="720"/>
        </w:tabs>
        <w:ind w:left="720" w:hanging="360"/>
      </w:pPr>
      <w:rPr>
        <w:rFonts w:ascii="Arial" w:hAnsi="Arial" w:hint="default"/>
      </w:rPr>
    </w:lvl>
    <w:lvl w:ilvl="1" w:tplc="18A82438" w:tentative="1">
      <w:start w:val="1"/>
      <w:numFmt w:val="bullet"/>
      <w:lvlText w:val="•"/>
      <w:lvlJc w:val="left"/>
      <w:pPr>
        <w:tabs>
          <w:tab w:val="num" w:pos="1440"/>
        </w:tabs>
        <w:ind w:left="1440" w:hanging="360"/>
      </w:pPr>
      <w:rPr>
        <w:rFonts w:ascii="Arial" w:hAnsi="Arial" w:hint="default"/>
      </w:rPr>
    </w:lvl>
    <w:lvl w:ilvl="2" w:tplc="0492D562" w:tentative="1">
      <w:start w:val="1"/>
      <w:numFmt w:val="bullet"/>
      <w:lvlText w:val="•"/>
      <w:lvlJc w:val="left"/>
      <w:pPr>
        <w:tabs>
          <w:tab w:val="num" w:pos="2160"/>
        </w:tabs>
        <w:ind w:left="2160" w:hanging="360"/>
      </w:pPr>
      <w:rPr>
        <w:rFonts w:ascii="Arial" w:hAnsi="Arial" w:hint="default"/>
      </w:rPr>
    </w:lvl>
    <w:lvl w:ilvl="3" w:tplc="ABFC918C" w:tentative="1">
      <w:start w:val="1"/>
      <w:numFmt w:val="bullet"/>
      <w:lvlText w:val="•"/>
      <w:lvlJc w:val="left"/>
      <w:pPr>
        <w:tabs>
          <w:tab w:val="num" w:pos="2880"/>
        </w:tabs>
        <w:ind w:left="2880" w:hanging="360"/>
      </w:pPr>
      <w:rPr>
        <w:rFonts w:ascii="Arial" w:hAnsi="Arial" w:hint="default"/>
      </w:rPr>
    </w:lvl>
    <w:lvl w:ilvl="4" w:tplc="121C11E6" w:tentative="1">
      <w:start w:val="1"/>
      <w:numFmt w:val="bullet"/>
      <w:lvlText w:val="•"/>
      <w:lvlJc w:val="left"/>
      <w:pPr>
        <w:tabs>
          <w:tab w:val="num" w:pos="3600"/>
        </w:tabs>
        <w:ind w:left="3600" w:hanging="360"/>
      </w:pPr>
      <w:rPr>
        <w:rFonts w:ascii="Arial" w:hAnsi="Arial" w:hint="default"/>
      </w:rPr>
    </w:lvl>
    <w:lvl w:ilvl="5" w:tplc="EE6A1BB6" w:tentative="1">
      <w:start w:val="1"/>
      <w:numFmt w:val="bullet"/>
      <w:lvlText w:val="•"/>
      <w:lvlJc w:val="left"/>
      <w:pPr>
        <w:tabs>
          <w:tab w:val="num" w:pos="4320"/>
        </w:tabs>
        <w:ind w:left="4320" w:hanging="360"/>
      </w:pPr>
      <w:rPr>
        <w:rFonts w:ascii="Arial" w:hAnsi="Arial" w:hint="default"/>
      </w:rPr>
    </w:lvl>
    <w:lvl w:ilvl="6" w:tplc="733AE89A" w:tentative="1">
      <w:start w:val="1"/>
      <w:numFmt w:val="bullet"/>
      <w:lvlText w:val="•"/>
      <w:lvlJc w:val="left"/>
      <w:pPr>
        <w:tabs>
          <w:tab w:val="num" w:pos="5040"/>
        </w:tabs>
        <w:ind w:left="5040" w:hanging="360"/>
      </w:pPr>
      <w:rPr>
        <w:rFonts w:ascii="Arial" w:hAnsi="Arial" w:hint="default"/>
      </w:rPr>
    </w:lvl>
    <w:lvl w:ilvl="7" w:tplc="F0208A24" w:tentative="1">
      <w:start w:val="1"/>
      <w:numFmt w:val="bullet"/>
      <w:lvlText w:val="•"/>
      <w:lvlJc w:val="left"/>
      <w:pPr>
        <w:tabs>
          <w:tab w:val="num" w:pos="5760"/>
        </w:tabs>
        <w:ind w:left="5760" w:hanging="360"/>
      </w:pPr>
      <w:rPr>
        <w:rFonts w:ascii="Arial" w:hAnsi="Arial" w:hint="default"/>
      </w:rPr>
    </w:lvl>
    <w:lvl w:ilvl="8" w:tplc="F20086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847402"/>
    <w:multiLevelType w:val="hybridMultilevel"/>
    <w:tmpl w:val="693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9437D"/>
    <w:multiLevelType w:val="hybridMultilevel"/>
    <w:tmpl w:val="9370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5D0062"/>
    <w:multiLevelType w:val="hybridMultilevel"/>
    <w:tmpl w:val="B03E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E2A2A"/>
    <w:multiLevelType w:val="hybridMultilevel"/>
    <w:tmpl w:val="8CD8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46C09"/>
    <w:multiLevelType w:val="multilevel"/>
    <w:tmpl w:val="CF6A9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F11A77"/>
    <w:multiLevelType w:val="hybridMultilevel"/>
    <w:tmpl w:val="D1BE2782"/>
    <w:lvl w:ilvl="0" w:tplc="FDDEBA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9240B9"/>
    <w:multiLevelType w:val="hybridMultilevel"/>
    <w:tmpl w:val="9B02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A795C"/>
    <w:multiLevelType w:val="multilevel"/>
    <w:tmpl w:val="3A54F9C4"/>
    <w:lvl w:ilvl="0">
      <w:numFmt w:val="decimal"/>
      <w:lvlText w:val="%1.0"/>
      <w:lvlJc w:val="left"/>
      <w:pPr>
        <w:ind w:left="500" w:hanging="400"/>
      </w:pPr>
      <w:rPr>
        <w:rFonts w:hint="default"/>
      </w:rPr>
    </w:lvl>
    <w:lvl w:ilvl="1">
      <w:start w:val="1"/>
      <w:numFmt w:val="decimal"/>
      <w:lvlText w:val="%1.%2"/>
      <w:lvlJc w:val="left"/>
      <w:pPr>
        <w:ind w:left="1220" w:hanging="40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300" w:hanging="1440"/>
      </w:pPr>
      <w:rPr>
        <w:rFonts w:hint="default"/>
      </w:rPr>
    </w:lvl>
  </w:abstractNum>
  <w:num w:numId="1">
    <w:abstractNumId w:val="24"/>
  </w:num>
  <w:num w:numId="2">
    <w:abstractNumId w:val="14"/>
  </w:num>
  <w:num w:numId="3">
    <w:abstractNumId w:val="2"/>
  </w:num>
  <w:num w:numId="4">
    <w:abstractNumId w:val="15"/>
  </w:num>
  <w:num w:numId="5">
    <w:abstractNumId w:val="5"/>
  </w:num>
  <w:num w:numId="6">
    <w:abstractNumId w:val="32"/>
  </w:num>
  <w:num w:numId="7">
    <w:abstractNumId w:val="17"/>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8"/>
  </w:num>
  <w:num w:numId="12">
    <w:abstractNumId w:val="29"/>
  </w:num>
  <w:num w:numId="13">
    <w:abstractNumId w:val="0"/>
  </w:num>
  <w:num w:numId="14">
    <w:abstractNumId w:val="19"/>
  </w:num>
  <w:num w:numId="15">
    <w:abstractNumId w:val="3"/>
  </w:num>
  <w:num w:numId="16">
    <w:abstractNumId w:val="11"/>
  </w:num>
  <w:num w:numId="17">
    <w:abstractNumId w:val="30"/>
  </w:num>
  <w:num w:numId="18">
    <w:abstractNumId w:val="16"/>
  </w:num>
  <w:num w:numId="19">
    <w:abstractNumId w:val="6"/>
  </w:num>
  <w:num w:numId="20">
    <w:abstractNumId w:val="23"/>
  </w:num>
  <w:num w:numId="21">
    <w:abstractNumId w:val="1"/>
  </w:num>
  <w:num w:numId="22">
    <w:abstractNumId w:val="31"/>
  </w:num>
  <w:num w:numId="23">
    <w:abstractNumId w:val="28"/>
  </w:num>
  <w:num w:numId="24">
    <w:abstractNumId w:val="18"/>
  </w:num>
  <w:num w:numId="25">
    <w:abstractNumId w:val="21"/>
  </w:num>
  <w:num w:numId="26">
    <w:abstractNumId w:val="13"/>
  </w:num>
  <w:num w:numId="27">
    <w:abstractNumId w:val="22"/>
  </w:num>
  <w:num w:numId="28">
    <w:abstractNumId w:val="25"/>
  </w:num>
  <w:num w:numId="29">
    <w:abstractNumId w:val="4"/>
  </w:num>
  <w:num w:numId="30">
    <w:abstractNumId w:val="9"/>
  </w:num>
  <w:num w:numId="31">
    <w:abstractNumId w:val="27"/>
  </w:num>
  <w:num w:numId="32">
    <w:abstractNumId w:val="12"/>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3&lt;/SpaceAfter&gt;&lt;HyperlinksEnabled&gt;0&lt;/HyperlinksEnabled&gt;&lt;HyperlinksVisible&gt;0&lt;/HyperlinksVisible&gt;&lt;EnableBibliographyCategories&gt;0&lt;/EnableBibliographyCategories&gt;&lt;/ENLayout&gt;"/>
    <w:docVar w:name="EN.Libraries" w:val="&lt;Libraries&gt;&lt;item db-id=&quot;txwadef24wdtx3e50eep9d0uswddpaew59tt&quot;&gt;CarolineLibrary2-Saved&lt;record-ids&gt;&lt;item&gt;114&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record-ids&gt;&lt;/item&gt;&lt;/Libraries&gt;"/>
  </w:docVars>
  <w:rsids>
    <w:rsidRoot w:val="00512CFD"/>
    <w:rsid w:val="00000754"/>
    <w:rsid w:val="000011AE"/>
    <w:rsid w:val="000030E3"/>
    <w:rsid w:val="0000378D"/>
    <w:rsid w:val="00004892"/>
    <w:rsid w:val="000058A7"/>
    <w:rsid w:val="00006300"/>
    <w:rsid w:val="00006552"/>
    <w:rsid w:val="00007010"/>
    <w:rsid w:val="00011393"/>
    <w:rsid w:val="00011925"/>
    <w:rsid w:val="000123BC"/>
    <w:rsid w:val="000126AB"/>
    <w:rsid w:val="00012BB4"/>
    <w:rsid w:val="00013107"/>
    <w:rsid w:val="00014537"/>
    <w:rsid w:val="00014590"/>
    <w:rsid w:val="00016060"/>
    <w:rsid w:val="0001704E"/>
    <w:rsid w:val="000172F4"/>
    <w:rsid w:val="00017DAD"/>
    <w:rsid w:val="000201F8"/>
    <w:rsid w:val="00023841"/>
    <w:rsid w:val="00023FB5"/>
    <w:rsid w:val="000244AA"/>
    <w:rsid w:val="0002633B"/>
    <w:rsid w:val="0003003A"/>
    <w:rsid w:val="00032411"/>
    <w:rsid w:val="000337CD"/>
    <w:rsid w:val="0003607B"/>
    <w:rsid w:val="00037DA9"/>
    <w:rsid w:val="00037FD7"/>
    <w:rsid w:val="000402A0"/>
    <w:rsid w:val="000408DC"/>
    <w:rsid w:val="00041446"/>
    <w:rsid w:val="0004404F"/>
    <w:rsid w:val="0004460B"/>
    <w:rsid w:val="00047500"/>
    <w:rsid w:val="000505D1"/>
    <w:rsid w:val="0005370E"/>
    <w:rsid w:val="0005497C"/>
    <w:rsid w:val="00054A7D"/>
    <w:rsid w:val="0005519F"/>
    <w:rsid w:val="0006241D"/>
    <w:rsid w:val="00062CD1"/>
    <w:rsid w:val="00063F19"/>
    <w:rsid w:val="000648C4"/>
    <w:rsid w:val="00066972"/>
    <w:rsid w:val="000709DE"/>
    <w:rsid w:val="00075E01"/>
    <w:rsid w:val="0007687D"/>
    <w:rsid w:val="00081BB9"/>
    <w:rsid w:val="00085F9D"/>
    <w:rsid w:val="00086D3C"/>
    <w:rsid w:val="00090D9F"/>
    <w:rsid w:val="00092DEF"/>
    <w:rsid w:val="00093D3C"/>
    <w:rsid w:val="00094A31"/>
    <w:rsid w:val="0009540E"/>
    <w:rsid w:val="000A0B96"/>
    <w:rsid w:val="000A1796"/>
    <w:rsid w:val="000A33FA"/>
    <w:rsid w:val="000A4407"/>
    <w:rsid w:val="000A466D"/>
    <w:rsid w:val="000A5549"/>
    <w:rsid w:val="000A5E5C"/>
    <w:rsid w:val="000A7462"/>
    <w:rsid w:val="000A7B25"/>
    <w:rsid w:val="000B0B84"/>
    <w:rsid w:val="000B0DB4"/>
    <w:rsid w:val="000B2799"/>
    <w:rsid w:val="000B469D"/>
    <w:rsid w:val="000B66F6"/>
    <w:rsid w:val="000B791D"/>
    <w:rsid w:val="000B7D32"/>
    <w:rsid w:val="000B7E38"/>
    <w:rsid w:val="000C02D1"/>
    <w:rsid w:val="000C310F"/>
    <w:rsid w:val="000C3706"/>
    <w:rsid w:val="000C4259"/>
    <w:rsid w:val="000C434D"/>
    <w:rsid w:val="000C4399"/>
    <w:rsid w:val="000C5052"/>
    <w:rsid w:val="000C627D"/>
    <w:rsid w:val="000C6842"/>
    <w:rsid w:val="000D4DDF"/>
    <w:rsid w:val="000D5A50"/>
    <w:rsid w:val="000E286D"/>
    <w:rsid w:val="000E36A3"/>
    <w:rsid w:val="000E5AFB"/>
    <w:rsid w:val="000E5DA3"/>
    <w:rsid w:val="000F1912"/>
    <w:rsid w:val="000F1C9D"/>
    <w:rsid w:val="000F3600"/>
    <w:rsid w:val="000F4632"/>
    <w:rsid w:val="000F589E"/>
    <w:rsid w:val="00101C9B"/>
    <w:rsid w:val="0010274C"/>
    <w:rsid w:val="00102920"/>
    <w:rsid w:val="0010384E"/>
    <w:rsid w:val="00103A54"/>
    <w:rsid w:val="00103F8E"/>
    <w:rsid w:val="00104958"/>
    <w:rsid w:val="0010532F"/>
    <w:rsid w:val="00105512"/>
    <w:rsid w:val="00107641"/>
    <w:rsid w:val="00110C1D"/>
    <w:rsid w:val="00110FB5"/>
    <w:rsid w:val="001110EF"/>
    <w:rsid w:val="00111C5C"/>
    <w:rsid w:val="00115D5C"/>
    <w:rsid w:val="0011662A"/>
    <w:rsid w:val="00117366"/>
    <w:rsid w:val="00120774"/>
    <w:rsid w:val="001228D0"/>
    <w:rsid w:val="001261DA"/>
    <w:rsid w:val="00126DC9"/>
    <w:rsid w:val="00130416"/>
    <w:rsid w:val="001314E4"/>
    <w:rsid w:val="00133455"/>
    <w:rsid w:val="00133EE5"/>
    <w:rsid w:val="001344BB"/>
    <w:rsid w:val="001354E3"/>
    <w:rsid w:val="00135F7B"/>
    <w:rsid w:val="00142B35"/>
    <w:rsid w:val="00143C80"/>
    <w:rsid w:val="00146BA7"/>
    <w:rsid w:val="00147FDE"/>
    <w:rsid w:val="0015048C"/>
    <w:rsid w:val="001504F4"/>
    <w:rsid w:val="00151060"/>
    <w:rsid w:val="001515C9"/>
    <w:rsid w:val="00151F99"/>
    <w:rsid w:val="0015428E"/>
    <w:rsid w:val="001543F8"/>
    <w:rsid w:val="00154BC9"/>
    <w:rsid w:val="00155C83"/>
    <w:rsid w:val="00156760"/>
    <w:rsid w:val="001567A3"/>
    <w:rsid w:val="0015735D"/>
    <w:rsid w:val="00157B03"/>
    <w:rsid w:val="00162547"/>
    <w:rsid w:val="001626A3"/>
    <w:rsid w:val="00162AAA"/>
    <w:rsid w:val="00165B8D"/>
    <w:rsid w:val="00167880"/>
    <w:rsid w:val="001717CE"/>
    <w:rsid w:val="00174120"/>
    <w:rsid w:val="0017746D"/>
    <w:rsid w:val="00180865"/>
    <w:rsid w:val="00180ECA"/>
    <w:rsid w:val="001828E2"/>
    <w:rsid w:val="00187186"/>
    <w:rsid w:val="0018786B"/>
    <w:rsid w:val="0018797B"/>
    <w:rsid w:val="00190F3D"/>
    <w:rsid w:val="001933AB"/>
    <w:rsid w:val="00195149"/>
    <w:rsid w:val="00195DBF"/>
    <w:rsid w:val="001976A5"/>
    <w:rsid w:val="001A124A"/>
    <w:rsid w:val="001A618A"/>
    <w:rsid w:val="001B0410"/>
    <w:rsid w:val="001B206A"/>
    <w:rsid w:val="001B4C50"/>
    <w:rsid w:val="001B61AD"/>
    <w:rsid w:val="001C394F"/>
    <w:rsid w:val="001C40FF"/>
    <w:rsid w:val="001C4A54"/>
    <w:rsid w:val="001C6F4E"/>
    <w:rsid w:val="001D03C1"/>
    <w:rsid w:val="001D0B8A"/>
    <w:rsid w:val="001D2C28"/>
    <w:rsid w:val="001D3F1C"/>
    <w:rsid w:val="001E1935"/>
    <w:rsid w:val="001E2619"/>
    <w:rsid w:val="001E5AF2"/>
    <w:rsid w:val="001E5C46"/>
    <w:rsid w:val="001E5D2E"/>
    <w:rsid w:val="001E6600"/>
    <w:rsid w:val="001E6E15"/>
    <w:rsid w:val="001E77A4"/>
    <w:rsid w:val="001F01E2"/>
    <w:rsid w:val="001F3861"/>
    <w:rsid w:val="001F3EB3"/>
    <w:rsid w:val="001F414D"/>
    <w:rsid w:val="001F60C2"/>
    <w:rsid w:val="001F6855"/>
    <w:rsid w:val="001F7751"/>
    <w:rsid w:val="002011A1"/>
    <w:rsid w:val="00203AC3"/>
    <w:rsid w:val="00203F72"/>
    <w:rsid w:val="002055C6"/>
    <w:rsid w:val="00205ECC"/>
    <w:rsid w:val="002116CF"/>
    <w:rsid w:val="0021221B"/>
    <w:rsid w:val="00213616"/>
    <w:rsid w:val="00217829"/>
    <w:rsid w:val="00217B9D"/>
    <w:rsid w:val="00217C74"/>
    <w:rsid w:val="00217D2A"/>
    <w:rsid w:val="00217D90"/>
    <w:rsid w:val="0022095D"/>
    <w:rsid w:val="002217A3"/>
    <w:rsid w:val="00230988"/>
    <w:rsid w:val="00230A19"/>
    <w:rsid w:val="00231504"/>
    <w:rsid w:val="00231CBF"/>
    <w:rsid w:val="00233F5F"/>
    <w:rsid w:val="0023469A"/>
    <w:rsid w:val="00234ADB"/>
    <w:rsid w:val="00234E10"/>
    <w:rsid w:val="0023672F"/>
    <w:rsid w:val="00236DAA"/>
    <w:rsid w:val="002375DA"/>
    <w:rsid w:val="00237DA1"/>
    <w:rsid w:val="002409DF"/>
    <w:rsid w:val="00241F70"/>
    <w:rsid w:val="00242441"/>
    <w:rsid w:val="00246ACD"/>
    <w:rsid w:val="0024779D"/>
    <w:rsid w:val="0025240C"/>
    <w:rsid w:val="0025334A"/>
    <w:rsid w:val="00253D9F"/>
    <w:rsid w:val="00254E35"/>
    <w:rsid w:val="002560ED"/>
    <w:rsid w:val="00257065"/>
    <w:rsid w:val="0025774B"/>
    <w:rsid w:val="00260188"/>
    <w:rsid w:val="002608B3"/>
    <w:rsid w:val="0026170B"/>
    <w:rsid w:val="00262207"/>
    <w:rsid w:val="0026271E"/>
    <w:rsid w:val="00264398"/>
    <w:rsid w:val="0027199E"/>
    <w:rsid w:val="00272532"/>
    <w:rsid w:val="00272EC6"/>
    <w:rsid w:val="002736CD"/>
    <w:rsid w:val="002743D9"/>
    <w:rsid w:val="00276ABD"/>
    <w:rsid w:val="00277427"/>
    <w:rsid w:val="00285875"/>
    <w:rsid w:val="002858F6"/>
    <w:rsid w:val="00287434"/>
    <w:rsid w:val="00287AAD"/>
    <w:rsid w:val="00287E6D"/>
    <w:rsid w:val="00290DA2"/>
    <w:rsid w:val="00293500"/>
    <w:rsid w:val="0029406C"/>
    <w:rsid w:val="002940C7"/>
    <w:rsid w:val="002A08C6"/>
    <w:rsid w:val="002A10BA"/>
    <w:rsid w:val="002A5B06"/>
    <w:rsid w:val="002A6212"/>
    <w:rsid w:val="002A64D9"/>
    <w:rsid w:val="002B05A5"/>
    <w:rsid w:val="002B23B6"/>
    <w:rsid w:val="002B56BB"/>
    <w:rsid w:val="002B5EC3"/>
    <w:rsid w:val="002B64DD"/>
    <w:rsid w:val="002B7B88"/>
    <w:rsid w:val="002C2894"/>
    <w:rsid w:val="002C2D89"/>
    <w:rsid w:val="002C3DF6"/>
    <w:rsid w:val="002C4049"/>
    <w:rsid w:val="002C42F3"/>
    <w:rsid w:val="002C64BE"/>
    <w:rsid w:val="002D0B17"/>
    <w:rsid w:val="002D1083"/>
    <w:rsid w:val="002D1C14"/>
    <w:rsid w:val="002D4E9E"/>
    <w:rsid w:val="002D5653"/>
    <w:rsid w:val="002D6020"/>
    <w:rsid w:val="002D7A29"/>
    <w:rsid w:val="002E12BE"/>
    <w:rsid w:val="002E3AEE"/>
    <w:rsid w:val="002E4091"/>
    <w:rsid w:val="002E7526"/>
    <w:rsid w:val="002F0CD0"/>
    <w:rsid w:val="002F5C85"/>
    <w:rsid w:val="002F65C3"/>
    <w:rsid w:val="002F6F17"/>
    <w:rsid w:val="002F71F3"/>
    <w:rsid w:val="003009EF"/>
    <w:rsid w:val="00301D64"/>
    <w:rsid w:val="00304997"/>
    <w:rsid w:val="00305434"/>
    <w:rsid w:val="00305CD4"/>
    <w:rsid w:val="00310131"/>
    <w:rsid w:val="0031402D"/>
    <w:rsid w:val="00314039"/>
    <w:rsid w:val="00314704"/>
    <w:rsid w:val="00314C80"/>
    <w:rsid w:val="00314DBD"/>
    <w:rsid w:val="00316B48"/>
    <w:rsid w:val="00316BAA"/>
    <w:rsid w:val="003179DE"/>
    <w:rsid w:val="00320B9D"/>
    <w:rsid w:val="00323558"/>
    <w:rsid w:val="0032381C"/>
    <w:rsid w:val="003246BF"/>
    <w:rsid w:val="00324C86"/>
    <w:rsid w:val="003258A3"/>
    <w:rsid w:val="00325D12"/>
    <w:rsid w:val="00325D75"/>
    <w:rsid w:val="003306D1"/>
    <w:rsid w:val="00330FA8"/>
    <w:rsid w:val="00331219"/>
    <w:rsid w:val="00331517"/>
    <w:rsid w:val="00333768"/>
    <w:rsid w:val="00333AFC"/>
    <w:rsid w:val="003358D6"/>
    <w:rsid w:val="0033671A"/>
    <w:rsid w:val="00337CB3"/>
    <w:rsid w:val="00341516"/>
    <w:rsid w:val="003415ED"/>
    <w:rsid w:val="003432F9"/>
    <w:rsid w:val="003437BA"/>
    <w:rsid w:val="00344066"/>
    <w:rsid w:val="003446EA"/>
    <w:rsid w:val="003465E8"/>
    <w:rsid w:val="003517D1"/>
    <w:rsid w:val="00351B37"/>
    <w:rsid w:val="00354704"/>
    <w:rsid w:val="003547AE"/>
    <w:rsid w:val="0035737B"/>
    <w:rsid w:val="00360500"/>
    <w:rsid w:val="00360A1D"/>
    <w:rsid w:val="003612C5"/>
    <w:rsid w:val="00362118"/>
    <w:rsid w:val="0036300B"/>
    <w:rsid w:val="00363C74"/>
    <w:rsid w:val="00371DDC"/>
    <w:rsid w:val="00373C22"/>
    <w:rsid w:val="00374115"/>
    <w:rsid w:val="00374519"/>
    <w:rsid w:val="003747ED"/>
    <w:rsid w:val="00377A77"/>
    <w:rsid w:val="00377B36"/>
    <w:rsid w:val="003808A0"/>
    <w:rsid w:val="0038090F"/>
    <w:rsid w:val="003823CA"/>
    <w:rsid w:val="00384740"/>
    <w:rsid w:val="00385070"/>
    <w:rsid w:val="003854D5"/>
    <w:rsid w:val="0038662C"/>
    <w:rsid w:val="003877FE"/>
    <w:rsid w:val="00391324"/>
    <w:rsid w:val="003922D7"/>
    <w:rsid w:val="00395A7A"/>
    <w:rsid w:val="003977F8"/>
    <w:rsid w:val="003A1329"/>
    <w:rsid w:val="003A24F6"/>
    <w:rsid w:val="003A6733"/>
    <w:rsid w:val="003A7808"/>
    <w:rsid w:val="003A7FB0"/>
    <w:rsid w:val="003B154C"/>
    <w:rsid w:val="003B3456"/>
    <w:rsid w:val="003B4DA1"/>
    <w:rsid w:val="003B4F8B"/>
    <w:rsid w:val="003B725D"/>
    <w:rsid w:val="003B7C8E"/>
    <w:rsid w:val="003C03F4"/>
    <w:rsid w:val="003C116D"/>
    <w:rsid w:val="003C1446"/>
    <w:rsid w:val="003C1EBE"/>
    <w:rsid w:val="003C53EC"/>
    <w:rsid w:val="003C6187"/>
    <w:rsid w:val="003C70A8"/>
    <w:rsid w:val="003D0810"/>
    <w:rsid w:val="003D21D8"/>
    <w:rsid w:val="003D4102"/>
    <w:rsid w:val="003D45FC"/>
    <w:rsid w:val="003D6576"/>
    <w:rsid w:val="003E4589"/>
    <w:rsid w:val="003E4798"/>
    <w:rsid w:val="003E58BA"/>
    <w:rsid w:val="003F041E"/>
    <w:rsid w:val="003F1F24"/>
    <w:rsid w:val="003F2B8D"/>
    <w:rsid w:val="003F3B06"/>
    <w:rsid w:val="003F6C7F"/>
    <w:rsid w:val="003F727C"/>
    <w:rsid w:val="00400B58"/>
    <w:rsid w:val="00401CEE"/>
    <w:rsid w:val="00403BE3"/>
    <w:rsid w:val="00404176"/>
    <w:rsid w:val="00404448"/>
    <w:rsid w:val="004044DE"/>
    <w:rsid w:val="0040513B"/>
    <w:rsid w:val="00406D43"/>
    <w:rsid w:val="004076E2"/>
    <w:rsid w:val="00411506"/>
    <w:rsid w:val="00413951"/>
    <w:rsid w:val="004139FC"/>
    <w:rsid w:val="00416331"/>
    <w:rsid w:val="004168A9"/>
    <w:rsid w:val="00416CAB"/>
    <w:rsid w:val="0041752F"/>
    <w:rsid w:val="00417571"/>
    <w:rsid w:val="00417FEC"/>
    <w:rsid w:val="00423636"/>
    <w:rsid w:val="004240B8"/>
    <w:rsid w:val="0042411E"/>
    <w:rsid w:val="00425835"/>
    <w:rsid w:val="00427600"/>
    <w:rsid w:val="00427B7F"/>
    <w:rsid w:val="00430121"/>
    <w:rsid w:val="00432968"/>
    <w:rsid w:val="004340EF"/>
    <w:rsid w:val="00434EFD"/>
    <w:rsid w:val="0043555E"/>
    <w:rsid w:val="00436556"/>
    <w:rsid w:val="00437DE4"/>
    <w:rsid w:val="004431E7"/>
    <w:rsid w:val="0044647A"/>
    <w:rsid w:val="004471DE"/>
    <w:rsid w:val="004518AE"/>
    <w:rsid w:val="00451C84"/>
    <w:rsid w:val="00452499"/>
    <w:rsid w:val="004533CF"/>
    <w:rsid w:val="0045462E"/>
    <w:rsid w:val="00456548"/>
    <w:rsid w:val="0045692D"/>
    <w:rsid w:val="00460372"/>
    <w:rsid w:val="004629A8"/>
    <w:rsid w:val="0046522A"/>
    <w:rsid w:val="00465B66"/>
    <w:rsid w:val="00465EEB"/>
    <w:rsid w:val="00467060"/>
    <w:rsid w:val="00471774"/>
    <w:rsid w:val="00472408"/>
    <w:rsid w:val="0047334B"/>
    <w:rsid w:val="004742EA"/>
    <w:rsid w:val="00474912"/>
    <w:rsid w:val="00474E9A"/>
    <w:rsid w:val="00477B58"/>
    <w:rsid w:val="00483D03"/>
    <w:rsid w:val="0048564F"/>
    <w:rsid w:val="00485E7E"/>
    <w:rsid w:val="00486668"/>
    <w:rsid w:val="0049100A"/>
    <w:rsid w:val="00491177"/>
    <w:rsid w:val="0049138C"/>
    <w:rsid w:val="00491AFD"/>
    <w:rsid w:val="00494149"/>
    <w:rsid w:val="004A0826"/>
    <w:rsid w:val="004A246E"/>
    <w:rsid w:val="004A348B"/>
    <w:rsid w:val="004A38CB"/>
    <w:rsid w:val="004A45FE"/>
    <w:rsid w:val="004A5686"/>
    <w:rsid w:val="004B03BB"/>
    <w:rsid w:val="004B0BB0"/>
    <w:rsid w:val="004B24F3"/>
    <w:rsid w:val="004B2DC0"/>
    <w:rsid w:val="004B5099"/>
    <w:rsid w:val="004B51A2"/>
    <w:rsid w:val="004B72C0"/>
    <w:rsid w:val="004B74C4"/>
    <w:rsid w:val="004B77FB"/>
    <w:rsid w:val="004B7A6C"/>
    <w:rsid w:val="004C0B1A"/>
    <w:rsid w:val="004C28E4"/>
    <w:rsid w:val="004C482D"/>
    <w:rsid w:val="004C48E4"/>
    <w:rsid w:val="004C4A50"/>
    <w:rsid w:val="004C55F6"/>
    <w:rsid w:val="004C57C8"/>
    <w:rsid w:val="004C603A"/>
    <w:rsid w:val="004D0209"/>
    <w:rsid w:val="004D2800"/>
    <w:rsid w:val="004D305A"/>
    <w:rsid w:val="004D4EFF"/>
    <w:rsid w:val="004D6F54"/>
    <w:rsid w:val="004D7215"/>
    <w:rsid w:val="004D722B"/>
    <w:rsid w:val="004D766E"/>
    <w:rsid w:val="004D78FC"/>
    <w:rsid w:val="004E0AD2"/>
    <w:rsid w:val="004E18E1"/>
    <w:rsid w:val="004E6511"/>
    <w:rsid w:val="004F00C9"/>
    <w:rsid w:val="004F1AE4"/>
    <w:rsid w:val="004F393B"/>
    <w:rsid w:val="004F51ED"/>
    <w:rsid w:val="004F555C"/>
    <w:rsid w:val="004F5616"/>
    <w:rsid w:val="004F7CD5"/>
    <w:rsid w:val="00500810"/>
    <w:rsid w:val="00501BD0"/>
    <w:rsid w:val="0050258F"/>
    <w:rsid w:val="005034C9"/>
    <w:rsid w:val="005037CD"/>
    <w:rsid w:val="005039D4"/>
    <w:rsid w:val="00503CF6"/>
    <w:rsid w:val="0050504D"/>
    <w:rsid w:val="005075CB"/>
    <w:rsid w:val="00507F3C"/>
    <w:rsid w:val="00512CFD"/>
    <w:rsid w:val="00513764"/>
    <w:rsid w:val="00513DBF"/>
    <w:rsid w:val="00514244"/>
    <w:rsid w:val="00514D41"/>
    <w:rsid w:val="00514FC7"/>
    <w:rsid w:val="00515725"/>
    <w:rsid w:val="00515CBB"/>
    <w:rsid w:val="00515EEC"/>
    <w:rsid w:val="00517955"/>
    <w:rsid w:val="00520C7C"/>
    <w:rsid w:val="005216B9"/>
    <w:rsid w:val="005225F0"/>
    <w:rsid w:val="005256B7"/>
    <w:rsid w:val="005261D2"/>
    <w:rsid w:val="00526E0B"/>
    <w:rsid w:val="00527AFE"/>
    <w:rsid w:val="00530D93"/>
    <w:rsid w:val="00531273"/>
    <w:rsid w:val="0053162F"/>
    <w:rsid w:val="0053228F"/>
    <w:rsid w:val="00532B54"/>
    <w:rsid w:val="00533052"/>
    <w:rsid w:val="0053398C"/>
    <w:rsid w:val="00533AFC"/>
    <w:rsid w:val="00533C2B"/>
    <w:rsid w:val="00533FD0"/>
    <w:rsid w:val="0053431F"/>
    <w:rsid w:val="005358DE"/>
    <w:rsid w:val="00535EA2"/>
    <w:rsid w:val="005377A6"/>
    <w:rsid w:val="00540504"/>
    <w:rsid w:val="0054108B"/>
    <w:rsid w:val="00541158"/>
    <w:rsid w:val="00541200"/>
    <w:rsid w:val="0054164F"/>
    <w:rsid w:val="00541F77"/>
    <w:rsid w:val="00542DB1"/>
    <w:rsid w:val="00544B2D"/>
    <w:rsid w:val="005453B3"/>
    <w:rsid w:val="005467E9"/>
    <w:rsid w:val="00547603"/>
    <w:rsid w:val="005510AA"/>
    <w:rsid w:val="00551678"/>
    <w:rsid w:val="00551927"/>
    <w:rsid w:val="00552B61"/>
    <w:rsid w:val="0055393B"/>
    <w:rsid w:val="00557F31"/>
    <w:rsid w:val="00562103"/>
    <w:rsid w:val="00562B60"/>
    <w:rsid w:val="00562C9B"/>
    <w:rsid w:val="00562DF3"/>
    <w:rsid w:val="00563DFF"/>
    <w:rsid w:val="00564049"/>
    <w:rsid w:val="00565284"/>
    <w:rsid w:val="00565B7B"/>
    <w:rsid w:val="00567112"/>
    <w:rsid w:val="00567B51"/>
    <w:rsid w:val="00570165"/>
    <w:rsid w:val="00570C4D"/>
    <w:rsid w:val="005720DE"/>
    <w:rsid w:val="005721FE"/>
    <w:rsid w:val="00572E9B"/>
    <w:rsid w:val="0057426C"/>
    <w:rsid w:val="005768C7"/>
    <w:rsid w:val="00580031"/>
    <w:rsid w:val="0058156D"/>
    <w:rsid w:val="005828FF"/>
    <w:rsid w:val="00582CEB"/>
    <w:rsid w:val="005878A0"/>
    <w:rsid w:val="00587D38"/>
    <w:rsid w:val="00590205"/>
    <w:rsid w:val="00590500"/>
    <w:rsid w:val="00591D7F"/>
    <w:rsid w:val="005944FC"/>
    <w:rsid w:val="005956FF"/>
    <w:rsid w:val="00596696"/>
    <w:rsid w:val="00597854"/>
    <w:rsid w:val="00597E04"/>
    <w:rsid w:val="005A3385"/>
    <w:rsid w:val="005A3DB1"/>
    <w:rsid w:val="005A41A4"/>
    <w:rsid w:val="005A5C98"/>
    <w:rsid w:val="005B013A"/>
    <w:rsid w:val="005B01C6"/>
    <w:rsid w:val="005B14D5"/>
    <w:rsid w:val="005B255B"/>
    <w:rsid w:val="005B41CA"/>
    <w:rsid w:val="005B5A48"/>
    <w:rsid w:val="005B6A0E"/>
    <w:rsid w:val="005B6C5B"/>
    <w:rsid w:val="005B7D42"/>
    <w:rsid w:val="005C11EA"/>
    <w:rsid w:val="005C30CE"/>
    <w:rsid w:val="005C34DC"/>
    <w:rsid w:val="005C388C"/>
    <w:rsid w:val="005C4973"/>
    <w:rsid w:val="005C5B12"/>
    <w:rsid w:val="005D1472"/>
    <w:rsid w:val="005D1FA9"/>
    <w:rsid w:val="005D329D"/>
    <w:rsid w:val="005D4968"/>
    <w:rsid w:val="005D6002"/>
    <w:rsid w:val="005D72CA"/>
    <w:rsid w:val="005D7469"/>
    <w:rsid w:val="005E0181"/>
    <w:rsid w:val="005E13CD"/>
    <w:rsid w:val="005E3003"/>
    <w:rsid w:val="005E3136"/>
    <w:rsid w:val="005E3B16"/>
    <w:rsid w:val="005E68C5"/>
    <w:rsid w:val="005F1007"/>
    <w:rsid w:val="005F1B1E"/>
    <w:rsid w:val="005F3695"/>
    <w:rsid w:val="005F50E5"/>
    <w:rsid w:val="005F5CCF"/>
    <w:rsid w:val="00602E19"/>
    <w:rsid w:val="00603698"/>
    <w:rsid w:val="00604086"/>
    <w:rsid w:val="006041D7"/>
    <w:rsid w:val="006059B7"/>
    <w:rsid w:val="0060626C"/>
    <w:rsid w:val="006071A1"/>
    <w:rsid w:val="006108F3"/>
    <w:rsid w:val="006110A7"/>
    <w:rsid w:val="006124B3"/>
    <w:rsid w:val="006125FF"/>
    <w:rsid w:val="00612AA0"/>
    <w:rsid w:val="006130A1"/>
    <w:rsid w:val="0061476F"/>
    <w:rsid w:val="006164D9"/>
    <w:rsid w:val="006169A3"/>
    <w:rsid w:val="00617114"/>
    <w:rsid w:val="0061797A"/>
    <w:rsid w:val="00621D47"/>
    <w:rsid w:val="0062499D"/>
    <w:rsid w:val="00624F5A"/>
    <w:rsid w:val="006259C2"/>
    <w:rsid w:val="006263BA"/>
    <w:rsid w:val="0062717C"/>
    <w:rsid w:val="00627671"/>
    <w:rsid w:val="00630221"/>
    <w:rsid w:val="00631376"/>
    <w:rsid w:val="0063296D"/>
    <w:rsid w:val="006355D4"/>
    <w:rsid w:val="00635A14"/>
    <w:rsid w:val="00640460"/>
    <w:rsid w:val="00640B73"/>
    <w:rsid w:val="00641FAD"/>
    <w:rsid w:val="006445D0"/>
    <w:rsid w:val="0064465A"/>
    <w:rsid w:val="00644A02"/>
    <w:rsid w:val="00650015"/>
    <w:rsid w:val="00650E32"/>
    <w:rsid w:val="00651B00"/>
    <w:rsid w:val="00652847"/>
    <w:rsid w:val="006534F5"/>
    <w:rsid w:val="00654B70"/>
    <w:rsid w:val="00654ED5"/>
    <w:rsid w:val="00656F08"/>
    <w:rsid w:val="0065797E"/>
    <w:rsid w:val="00664B07"/>
    <w:rsid w:val="006659DD"/>
    <w:rsid w:val="0067249D"/>
    <w:rsid w:val="00673659"/>
    <w:rsid w:val="006742BC"/>
    <w:rsid w:val="006768C5"/>
    <w:rsid w:val="00677776"/>
    <w:rsid w:val="00680258"/>
    <w:rsid w:val="00680700"/>
    <w:rsid w:val="0068089C"/>
    <w:rsid w:val="00681F1B"/>
    <w:rsid w:val="0068209D"/>
    <w:rsid w:val="00685F7F"/>
    <w:rsid w:val="00687340"/>
    <w:rsid w:val="00690961"/>
    <w:rsid w:val="00690D82"/>
    <w:rsid w:val="0069180A"/>
    <w:rsid w:val="006928E6"/>
    <w:rsid w:val="006937EB"/>
    <w:rsid w:val="00695587"/>
    <w:rsid w:val="006A220B"/>
    <w:rsid w:val="006A630C"/>
    <w:rsid w:val="006A6C3B"/>
    <w:rsid w:val="006A70D3"/>
    <w:rsid w:val="006A7863"/>
    <w:rsid w:val="006A7FCC"/>
    <w:rsid w:val="006B02D5"/>
    <w:rsid w:val="006B02FF"/>
    <w:rsid w:val="006B1387"/>
    <w:rsid w:val="006B1559"/>
    <w:rsid w:val="006B32CB"/>
    <w:rsid w:val="006B682B"/>
    <w:rsid w:val="006B6E82"/>
    <w:rsid w:val="006B7AAA"/>
    <w:rsid w:val="006B7E3B"/>
    <w:rsid w:val="006C30F8"/>
    <w:rsid w:val="006C366F"/>
    <w:rsid w:val="006C38A9"/>
    <w:rsid w:val="006C67AB"/>
    <w:rsid w:val="006C6ABC"/>
    <w:rsid w:val="006C71A5"/>
    <w:rsid w:val="006D1461"/>
    <w:rsid w:val="006D1DD4"/>
    <w:rsid w:val="006D2EE2"/>
    <w:rsid w:val="006D4471"/>
    <w:rsid w:val="006D58DD"/>
    <w:rsid w:val="006D640B"/>
    <w:rsid w:val="006E0CEF"/>
    <w:rsid w:val="006E12A8"/>
    <w:rsid w:val="006E1A5A"/>
    <w:rsid w:val="006E1DA5"/>
    <w:rsid w:val="006E35C7"/>
    <w:rsid w:val="006E369C"/>
    <w:rsid w:val="006E51F4"/>
    <w:rsid w:val="006E6188"/>
    <w:rsid w:val="006E63A8"/>
    <w:rsid w:val="006E7CFD"/>
    <w:rsid w:val="006F0C25"/>
    <w:rsid w:val="006F1CBD"/>
    <w:rsid w:val="006F4BAC"/>
    <w:rsid w:val="006F5687"/>
    <w:rsid w:val="006F5E74"/>
    <w:rsid w:val="006F692E"/>
    <w:rsid w:val="00701C78"/>
    <w:rsid w:val="00701E6D"/>
    <w:rsid w:val="00702062"/>
    <w:rsid w:val="007104FE"/>
    <w:rsid w:val="007128CF"/>
    <w:rsid w:val="00713412"/>
    <w:rsid w:val="00715E10"/>
    <w:rsid w:val="00716B28"/>
    <w:rsid w:val="00717A04"/>
    <w:rsid w:val="007208EF"/>
    <w:rsid w:val="0072188C"/>
    <w:rsid w:val="00722499"/>
    <w:rsid w:val="00723235"/>
    <w:rsid w:val="00723707"/>
    <w:rsid w:val="00723A72"/>
    <w:rsid w:val="00726AA6"/>
    <w:rsid w:val="0072756D"/>
    <w:rsid w:val="00731417"/>
    <w:rsid w:val="0073360F"/>
    <w:rsid w:val="00734C15"/>
    <w:rsid w:val="00735F89"/>
    <w:rsid w:val="0074187C"/>
    <w:rsid w:val="007428DF"/>
    <w:rsid w:val="00743B24"/>
    <w:rsid w:val="00743E2F"/>
    <w:rsid w:val="00743EB4"/>
    <w:rsid w:val="00744800"/>
    <w:rsid w:val="00746E87"/>
    <w:rsid w:val="00747346"/>
    <w:rsid w:val="00752A6D"/>
    <w:rsid w:val="00753266"/>
    <w:rsid w:val="007557F7"/>
    <w:rsid w:val="00755D63"/>
    <w:rsid w:val="00757158"/>
    <w:rsid w:val="00757342"/>
    <w:rsid w:val="007577BA"/>
    <w:rsid w:val="00757BDB"/>
    <w:rsid w:val="007603D6"/>
    <w:rsid w:val="0076106D"/>
    <w:rsid w:val="00761679"/>
    <w:rsid w:val="00761E8E"/>
    <w:rsid w:val="00762021"/>
    <w:rsid w:val="0076281C"/>
    <w:rsid w:val="007636CB"/>
    <w:rsid w:val="00764F28"/>
    <w:rsid w:val="00770FB8"/>
    <w:rsid w:val="00772568"/>
    <w:rsid w:val="0077331F"/>
    <w:rsid w:val="00773C97"/>
    <w:rsid w:val="00774B5B"/>
    <w:rsid w:val="00774DD3"/>
    <w:rsid w:val="00777985"/>
    <w:rsid w:val="00777F86"/>
    <w:rsid w:val="00780845"/>
    <w:rsid w:val="00783FF5"/>
    <w:rsid w:val="007853B4"/>
    <w:rsid w:val="00785D23"/>
    <w:rsid w:val="00790F93"/>
    <w:rsid w:val="0079259E"/>
    <w:rsid w:val="007952B8"/>
    <w:rsid w:val="007953D6"/>
    <w:rsid w:val="00795DDB"/>
    <w:rsid w:val="007A3E5A"/>
    <w:rsid w:val="007A40AD"/>
    <w:rsid w:val="007A49B8"/>
    <w:rsid w:val="007A4CC3"/>
    <w:rsid w:val="007A5522"/>
    <w:rsid w:val="007B1FAB"/>
    <w:rsid w:val="007B2402"/>
    <w:rsid w:val="007B3D63"/>
    <w:rsid w:val="007B478C"/>
    <w:rsid w:val="007B4B0B"/>
    <w:rsid w:val="007B5B77"/>
    <w:rsid w:val="007C3645"/>
    <w:rsid w:val="007C6CA5"/>
    <w:rsid w:val="007C6FCE"/>
    <w:rsid w:val="007D121D"/>
    <w:rsid w:val="007D156B"/>
    <w:rsid w:val="007D22F5"/>
    <w:rsid w:val="007D2DDD"/>
    <w:rsid w:val="007D34A7"/>
    <w:rsid w:val="007D36C1"/>
    <w:rsid w:val="007D3B8B"/>
    <w:rsid w:val="007D405C"/>
    <w:rsid w:val="007D40CA"/>
    <w:rsid w:val="007D505F"/>
    <w:rsid w:val="007D536E"/>
    <w:rsid w:val="007D736D"/>
    <w:rsid w:val="007E1DD6"/>
    <w:rsid w:val="007E2FBC"/>
    <w:rsid w:val="007F00B5"/>
    <w:rsid w:val="007F0635"/>
    <w:rsid w:val="007F1EE6"/>
    <w:rsid w:val="007F1F92"/>
    <w:rsid w:val="007F2418"/>
    <w:rsid w:val="007F260F"/>
    <w:rsid w:val="007F2817"/>
    <w:rsid w:val="007F44FC"/>
    <w:rsid w:val="007F504B"/>
    <w:rsid w:val="007F541B"/>
    <w:rsid w:val="007F7436"/>
    <w:rsid w:val="007F7A4A"/>
    <w:rsid w:val="007F7EE6"/>
    <w:rsid w:val="0080084D"/>
    <w:rsid w:val="00802BD4"/>
    <w:rsid w:val="00802EF5"/>
    <w:rsid w:val="00803C83"/>
    <w:rsid w:val="00803DA6"/>
    <w:rsid w:val="00803FDD"/>
    <w:rsid w:val="00804D03"/>
    <w:rsid w:val="00806D01"/>
    <w:rsid w:val="008071B1"/>
    <w:rsid w:val="008106E7"/>
    <w:rsid w:val="00810993"/>
    <w:rsid w:val="00815160"/>
    <w:rsid w:val="008171F9"/>
    <w:rsid w:val="008219E1"/>
    <w:rsid w:val="008244CF"/>
    <w:rsid w:val="00826629"/>
    <w:rsid w:val="0082673C"/>
    <w:rsid w:val="00827496"/>
    <w:rsid w:val="00827586"/>
    <w:rsid w:val="00827B5D"/>
    <w:rsid w:val="008304B1"/>
    <w:rsid w:val="00830F42"/>
    <w:rsid w:val="00830F5B"/>
    <w:rsid w:val="008316B6"/>
    <w:rsid w:val="008318A5"/>
    <w:rsid w:val="008321E9"/>
    <w:rsid w:val="0083252F"/>
    <w:rsid w:val="00836263"/>
    <w:rsid w:val="00836902"/>
    <w:rsid w:val="008377B3"/>
    <w:rsid w:val="00837E09"/>
    <w:rsid w:val="008407B8"/>
    <w:rsid w:val="00840945"/>
    <w:rsid w:val="00841F05"/>
    <w:rsid w:val="0084276A"/>
    <w:rsid w:val="00842D27"/>
    <w:rsid w:val="00843939"/>
    <w:rsid w:val="00850262"/>
    <w:rsid w:val="0085037D"/>
    <w:rsid w:val="00850E47"/>
    <w:rsid w:val="00852154"/>
    <w:rsid w:val="00852F10"/>
    <w:rsid w:val="00853029"/>
    <w:rsid w:val="0085359C"/>
    <w:rsid w:val="00855ED7"/>
    <w:rsid w:val="0085607A"/>
    <w:rsid w:val="00860083"/>
    <w:rsid w:val="008613F6"/>
    <w:rsid w:val="0086186C"/>
    <w:rsid w:val="008645D4"/>
    <w:rsid w:val="00864EE0"/>
    <w:rsid w:val="00864F79"/>
    <w:rsid w:val="00864F8B"/>
    <w:rsid w:val="008655F7"/>
    <w:rsid w:val="0086562A"/>
    <w:rsid w:val="0086704A"/>
    <w:rsid w:val="008707C2"/>
    <w:rsid w:val="008734A3"/>
    <w:rsid w:val="00876213"/>
    <w:rsid w:val="00877510"/>
    <w:rsid w:val="008812AC"/>
    <w:rsid w:val="00881E56"/>
    <w:rsid w:val="00882E87"/>
    <w:rsid w:val="00887C19"/>
    <w:rsid w:val="00887DDE"/>
    <w:rsid w:val="00891693"/>
    <w:rsid w:val="00894513"/>
    <w:rsid w:val="00895BC0"/>
    <w:rsid w:val="00896730"/>
    <w:rsid w:val="00896C25"/>
    <w:rsid w:val="0089721B"/>
    <w:rsid w:val="008A0FCC"/>
    <w:rsid w:val="008A1194"/>
    <w:rsid w:val="008A15B4"/>
    <w:rsid w:val="008A2694"/>
    <w:rsid w:val="008A47F4"/>
    <w:rsid w:val="008A5E9D"/>
    <w:rsid w:val="008A6E3B"/>
    <w:rsid w:val="008A7FE7"/>
    <w:rsid w:val="008B396A"/>
    <w:rsid w:val="008B42D8"/>
    <w:rsid w:val="008B50F0"/>
    <w:rsid w:val="008B5E13"/>
    <w:rsid w:val="008C0FC3"/>
    <w:rsid w:val="008C11A4"/>
    <w:rsid w:val="008C15F7"/>
    <w:rsid w:val="008C16BB"/>
    <w:rsid w:val="008C1D62"/>
    <w:rsid w:val="008C5E19"/>
    <w:rsid w:val="008C649A"/>
    <w:rsid w:val="008C6823"/>
    <w:rsid w:val="008D12E7"/>
    <w:rsid w:val="008D1CB7"/>
    <w:rsid w:val="008D3145"/>
    <w:rsid w:val="008D4CD7"/>
    <w:rsid w:val="008D56BD"/>
    <w:rsid w:val="008D7727"/>
    <w:rsid w:val="008E049A"/>
    <w:rsid w:val="008E238E"/>
    <w:rsid w:val="008E38F2"/>
    <w:rsid w:val="008E4201"/>
    <w:rsid w:val="008E59B4"/>
    <w:rsid w:val="008E5C05"/>
    <w:rsid w:val="008E6078"/>
    <w:rsid w:val="008E6D1E"/>
    <w:rsid w:val="008E7F5C"/>
    <w:rsid w:val="008F0329"/>
    <w:rsid w:val="008F0483"/>
    <w:rsid w:val="008F0A91"/>
    <w:rsid w:val="008F6B15"/>
    <w:rsid w:val="00903C3F"/>
    <w:rsid w:val="00905722"/>
    <w:rsid w:val="00911173"/>
    <w:rsid w:val="009113DE"/>
    <w:rsid w:val="009124E6"/>
    <w:rsid w:val="00913190"/>
    <w:rsid w:val="0091349D"/>
    <w:rsid w:val="0091500A"/>
    <w:rsid w:val="00917108"/>
    <w:rsid w:val="00917709"/>
    <w:rsid w:val="00920942"/>
    <w:rsid w:val="009211D5"/>
    <w:rsid w:val="009249F3"/>
    <w:rsid w:val="00924C32"/>
    <w:rsid w:val="00926BBE"/>
    <w:rsid w:val="00927ACA"/>
    <w:rsid w:val="0093021F"/>
    <w:rsid w:val="00930B7A"/>
    <w:rsid w:val="00930CA3"/>
    <w:rsid w:val="0093198A"/>
    <w:rsid w:val="0093279A"/>
    <w:rsid w:val="0093418B"/>
    <w:rsid w:val="009358D7"/>
    <w:rsid w:val="00940776"/>
    <w:rsid w:val="009408B8"/>
    <w:rsid w:val="00941045"/>
    <w:rsid w:val="009415BA"/>
    <w:rsid w:val="00943E62"/>
    <w:rsid w:val="009445FF"/>
    <w:rsid w:val="009452BF"/>
    <w:rsid w:val="0094556A"/>
    <w:rsid w:val="00945E00"/>
    <w:rsid w:val="00950C49"/>
    <w:rsid w:val="00950CCD"/>
    <w:rsid w:val="00951A15"/>
    <w:rsid w:val="00955B91"/>
    <w:rsid w:val="00957032"/>
    <w:rsid w:val="0095752B"/>
    <w:rsid w:val="00957676"/>
    <w:rsid w:val="00957694"/>
    <w:rsid w:val="00957D19"/>
    <w:rsid w:val="009603E3"/>
    <w:rsid w:val="009605AB"/>
    <w:rsid w:val="00963041"/>
    <w:rsid w:val="00965C71"/>
    <w:rsid w:val="009672B8"/>
    <w:rsid w:val="009707CD"/>
    <w:rsid w:val="00970CFD"/>
    <w:rsid w:val="00972818"/>
    <w:rsid w:val="009731F9"/>
    <w:rsid w:val="00974744"/>
    <w:rsid w:val="00974C1F"/>
    <w:rsid w:val="00976999"/>
    <w:rsid w:val="009823D1"/>
    <w:rsid w:val="0098339D"/>
    <w:rsid w:val="0098395E"/>
    <w:rsid w:val="00984A92"/>
    <w:rsid w:val="00984BE4"/>
    <w:rsid w:val="00985AA1"/>
    <w:rsid w:val="00985C3A"/>
    <w:rsid w:val="00986776"/>
    <w:rsid w:val="009903A5"/>
    <w:rsid w:val="0099117E"/>
    <w:rsid w:val="00991FAC"/>
    <w:rsid w:val="00993C8C"/>
    <w:rsid w:val="0099496D"/>
    <w:rsid w:val="00994F75"/>
    <w:rsid w:val="0099710C"/>
    <w:rsid w:val="009A0878"/>
    <w:rsid w:val="009A09FE"/>
    <w:rsid w:val="009A20B9"/>
    <w:rsid w:val="009A2190"/>
    <w:rsid w:val="009A339E"/>
    <w:rsid w:val="009A490A"/>
    <w:rsid w:val="009A6503"/>
    <w:rsid w:val="009A7CFB"/>
    <w:rsid w:val="009A7FD1"/>
    <w:rsid w:val="009B0C27"/>
    <w:rsid w:val="009B56EB"/>
    <w:rsid w:val="009B7C8C"/>
    <w:rsid w:val="009B7D3C"/>
    <w:rsid w:val="009C26A9"/>
    <w:rsid w:val="009C415B"/>
    <w:rsid w:val="009C4910"/>
    <w:rsid w:val="009C5067"/>
    <w:rsid w:val="009C69A8"/>
    <w:rsid w:val="009C6D97"/>
    <w:rsid w:val="009C7135"/>
    <w:rsid w:val="009C7462"/>
    <w:rsid w:val="009D0324"/>
    <w:rsid w:val="009D2E7A"/>
    <w:rsid w:val="009D30C6"/>
    <w:rsid w:val="009D3D5B"/>
    <w:rsid w:val="009D4A35"/>
    <w:rsid w:val="009D4C03"/>
    <w:rsid w:val="009D56C6"/>
    <w:rsid w:val="009D6C3A"/>
    <w:rsid w:val="009E19C7"/>
    <w:rsid w:val="009E1F61"/>
    <w:rsid w:val="009E231E"/>
    <w:rsid w:val="009E2A82"/>
    <w:rsid w:val="009E3CF5"/>
    <w:rsid w:val="009E44EA"/>
    <w:rsid w:val="009F078B"/>
    <w:rsid w:val="009F0CF1"/>
    <w:rsid w:val="009F245E"/>
    <w:rsid w:val="009F34EB"/>
    <w:rsid w:val="009F3D33"/>
    <w:rsid w:val="009F4735"/>
    <w:rsid w:val="009F486A"/>
    <w:rsid w:val="009F53E8"/>
    <w:rsid w:val="009F7306"/>
    <w:rsid w:val="009F739C"/>
    <w:rsid w:val="00A018D7"/>
    <w:rsid w:val="00A01BE3"/>
    <w:rsid w:val="00A01C51"/>
    <w:rsid w:val="00A02F48"/>
    <w:rsid w:val="00A03059"/>
    <w:rsid w:val="00A06098"/>
    <w:rsid w:val="00A12544"/>
    <w:rsid w:val="00A140C0"/>
    <w:rsid w:val="00A14200"/>
    <w:rsid w:val="00A15603"/>
    <w:rsid w:val="00A15FAD"/>
    <w:rsid w:val="00A162F2"/>
    <w:rsid w:val="00A16FD1"/>
    <w:rsid w:val="00A20957"/>
    <w:rsid w:val="00A233FA"/>
    <w:rsid w:val="00A23913"/>
    <w:rsid w:val="00A24C4F"/>
    <w:rsid w:val="00A25885"/>
    <w:rsid w:val="00A268F4"/>
    <w:rsid w:val="00A308B8"/>
    <w:rsid w:val="00A3093E"/>
    <w:rsid w:val="00A3280F"/>
    <w:rsid w:val="00A32ED8"/>
    <w:rsid w:val="00A332E2"/>
    <w:rsid w:val="00A34675"/>
    <w:rsid w:val="00A34A0E"/>
    <w:rsid w:val="00A34A2B"/>
    <w:rsid w:val="00A3729B"/>
    <w:rsid w:val="00A402AD"/>
    <w:rsid w:val="00A41A60"/>
    <w:rsid w:val="00A42BC9"/>
    <w:rsid w:val="00A42C44"/>
    <w:rsid w:val="00A4346C"/>
    <w:rsid w:val="00A434FA"/>
    <w:rsid w:val="00A43CE5"/>
    <w:rsid w:val="00A442EA"/>
    <w:rsid w:val="00A4584D"/>
    <w:rsid w:val="00A46D9E"/>
    <w:rsid w:val="00A530FA"/>
    <w:rsid w:val="00A5629B"/>
    <w:rsid w:val="00A56C9D"/>
    <w:rsid w:val="00A57C1D"/>
    <w:rsid w:val="00A6037C"/>
    <w:rsid w:val="00A60E73"/>
    <w:rsid w:val="00A6408D"/>
    <w:rsid w:val="00A66F54"/>
    <w:rsid w:val="00A66F7D"/>
    <w:rsid w:val="00A70AB3"/>
    <w:rsid w:val="00A75110"/>
    <w:rsid w:val="00A75F94"/>
    <w:rsid w:val="00A80921"/>
    <w:rsid w:val="00A82345"/>
    <w:rsid w:val="00A833FC"/>
    <w:rsid w:val="00A845B4"/>
    <w:rsid w:val="00A84CA5"/>
    <w:rsid w:val="00A8608E"/>
    <w:rsid w:val="00A86336"/>
    <w:rsid w:val="00A86817"/>
    <w:rsid w:val="00A901F9"/>
    <w:rsid w:val="00A94001"/>
    <w:rsid w:val="00A94D9F"/>
    <w:rsid w:val="00A94FE7"/>
    <w:rsid w:val="00A97F46"/>
    <w:rsid w:val="00AA0859"/>
    <w:rsid w:val="00AA2CEA"/>
    <w:rsid w:val="00AA426A"/>
    <w:rsid w:val="00AA4DDD"/>
    <w:rsid w:val="00AA5213"/>
    <w:rsid w:val="00AA58AA"/>
    <w:rsid w:val="00AA5B98"/>
    <w:rsid w:val="00AA6530"/>
    <w:rsid w:val="00AB05AA"/>
    <w:rsid w:val="00AB124F"/>
    <w:rsid w:val="00AB133B"/>
    <w:rsid w:val="00AB33E1"/>
    <w:rsid w:val="00AB5F41"/>
    <w:rsid w:val="00AB7817"/>
    <w:rsid w:val="00AC00FB"/>
    <w:rsid w:val="00AC02B3"/>
    <w:rsid w:val="00AC2519"/>
    <w:rsid w:val="00AC57DA"/>
    <w:rsid w:val="00AC598F"/>
    <w:rsid w:val="00AC5B26"/>
    <w:rsid w:val="00AC5D15"/>
    <w:rsid w:val="00AD036B"/>
    <w:rsid w:val="00AD0728"/>
    <w:rsid w:val="00AD2885"/>
    <w:rsid w:val="00AD497E"/>
    <w:rsid w:val="00AD4CBD"/>
    <w:rsid w:val="00AD589A"/>
    <w:rsid w:val="00AE22F5"/>
    <w:rsid w:val="00AE23BC"/>
    <w:rsid w:val="00AE34ED"/>
    <w:rsid w:val="00AE7BBA"/>
    <w:rsid w:val="00AF1A30"/>
    <w:rsid w:val="00AF4AF8"/>
    <w:rsid w:val="00B00E78"/>
    <w:rsid w:val="00B01FDE"/>
    <w:rsid w:val="00B02A17"/>
    <w:rsid w:val="00B03A9F"/>
    <w:rsid w:val="00B0475B"/>
    <w:rsid w:val="00B0485B"/>
    <w:rsid w:val="00B055F8"/>
    <w:rsid w:val="00B07300"/>
    <w:rsid w:val="00B12B7C"/>
    <w:rsid w:val="00B155C0"/>
    <w:rsid w:val="00B16CCD"/>
    <w:rsid w:val="00B230B9"/>
    <w:rsid w:val="00B230DC"/>
    <w:rsid w:val="00B2315B"/>
    <w:rsid w:val="00B30388"/>
    <w:rsid w:val="00B30E7C"/>
    <w:rsid w:val="00B3178B"/>
    <w:rsid w:val="00B33A13"/>
    <w:rsid w:val="00B34057"/>
    <w:rsid w:val="00B36B62"/>
    <w:rsid w:val="00B40137"/>
    <w:rsid w:val="00B406D1"/>
    <w:rsid w:val="00B40B15"/>
    <w:rsid w:val="00B41357"/>
    <w:rsid w:val="00B41A63"/>
    <w:rsid w:val="00B42A29"/>
    <w:rsid w:val="00B44396"/>
    <w:rsid w:val="00B44C6E"/>
    <w:rsid w:val="00B45205"/>
    <w:rsid w:val="00B470D5"/>
    <w:rsid w:val="00B50235"/>
    <w:rsid w:val="00B51001"/>
    <w:rsid w:val="00B51E0D"/>
    <w:rsid w:val="00B52BB4"/>
    <w:rsid w:val="00B54E0E"/>
    <w:rsid w:val="00B55376"/>
    <w:rsid w:val="00B55E30"/>
    <w:rsid w:val="00B570D3"/>
    <w:rsid w:val="00B60BDA"/>
    <w:rsid w:val="00B61440"/>
    <w:rsid w:val="00B61456"/>
    <w:rsid w:val="00B64BCE"/>
    <w:rsid w:val="00B64DDC"/>
    <w:rsid w:val="00B65EF7"/>
    <w:rsid w:val="00B672BB"/>
    <w:rsid w:val="00B67FAB"/>
    <w:rsid w:val="00B728F7"/>
    <w:rsid w:val="00B72EBB"/>
    <w:rsid w:val="00B73076"/>
    <w:rsid w:val="00B734E5"/>
    <w:rsid w:val="00B73CDB"/>
    <w:rsid w:val="00B74999"/>
    <w:rsid w:val="00B74D5A"/>
    <w:rsid w:val="00B7665B"/>
    <w:rsid w:val="00B76E5C"/>
    <w:rsid w:val="00B772E5"/>
    <w:rsid w:val="00B800C5"/>
    <w:rsid w:val="00B81A32"/>
    <w:rsid w:val="00B82184"/>
    <w:rsid w:val="00B82383"/>
    <w:rsid w:val="00B83175"/>
    <w:rsid w:val="00B84121"/>
    <w:rsid w:val="00B84AF6"/>
    <w:rsid w:val="00B84C03"/>
    <w:rsid w:val="00B85F97"/>
    <w:rsid w:val="00B85FA8"/>
    <w:rsid w:val="00B868BC"/>
    <w:rsid w:val="00B92330"/>
    <w:rsid w:val="00B93789"/>
    <w:rsid w:val="00B95AFC"/>
    <w:rsid w:val="00B96CD8"/>
    <w:rsid w:val="00B973A2"/>
    <w:rsid w:val="00B97AB5"/>
    <w:rsid w:val="00BA015F"/>
    <w:rsid w:val="00BA0E7D"/>
    <w:rsid w:val="00BA2678"/>
    <w:rsid w:val="00BA38D2"/>
    <w:rsid w:val="00BA3D4D"/>
    <w:rsid w:val="00BA4D32"/>
    <w:rsid w:val="00BA6297"/>
    <w:rsid w:val="00BA6E10"/>
    <w:rsid w:val="00BA7D74"/>
    <w:rsid w:val="00BB0EC6"/>
    <w:rsid w:val="00BB1C14"/>
    <w:rsid w:val="00BB3790"/>
    <w:rsid w:val="00BB4EBB"/>
    <w:rsid w:val="00BC243B"/>
    <w:rsid w:val="00BC4739"/>
    <w:rsid w:val="00BC52D8"/>
    <w:rsid w:val="00BC68E6"/>
    <w:rsid w:val="00BC6F83"/>
    <w:rsid w:val="00BC7811"/>
    <w:rsid w:val="00BD13F0"/>
    <w:rsid w:val="00BD1879"/>
    <w:rsid w:val="00BD1AD0"/>
    <w:rsid w:val="00BD2630"/>
    <w:rsid w:val="00BD3D39"/>
    <w:rsid w:val="00BD4A60"/>
    <w:rsid w:val="00BD7902"/>
    <w:rsid w:val="00BE0B5B"/>
    <w:rsid w:val="00BE1026"/>
    <w:rsid w:val="00BE1168"/>
    <w:rsid w:val="00BE163B"/>
    <w:rsid w:val="00BE1F8C"/>
    <w:rsid w:val="00BE3DA2"/>
    <w:rsid w:val="00BE5799"/>
    <w:rsid w:val="00BE735E"/>
    <w:rsid w:val="00BF0C34"/>
    <w:rsid w:val="00BF0FC6"/>
    <w:rsid w:val="00BF3387"/>
    <w:rsid w:val="00BF3A2F"/>
    <w:rsid w:val="00BF456F"/>
    <w:rsid w:val="00BF5877"/>
    <w:rsid w:val="00BF5D19"/>
    <w:rsid w:val="00BF699A"/>
    <w:rsid w:val="00BF7694"/>
    <w:rsid w:val="00C10182"/>
    <w:rsid w:val="00C103E7"/>
    <w:rsid w:val="00C12967"/>
    <w:rsid w:val="00C13A3F"/>
    <w:rsid w:val="00C15565"/>
    <w:rsid w:val="00C16CD6"/>
    <w:rsid w:val="00C20AB3"/>
    <w:rsid w:val="00C21458"/>
    <w:rsid w:val="00C2235A"/>
    <w:rsid w:val="00C22972"/>
    <w:rsid w:val="00C23C17"/>
    <w:rsid w:val="00C248AD"/>
    <w:rsid w:val="00C26A1A"/>
    <w:rsid w:val="00C2726C"/>
    <w:rsid w:val="00C27D10"/>
    <w:rsid w:val="00C30DD4"/>
    <w:rsid w:val="00C31E8A"/>
    <w:rsid w:val="00C32CB0"/>
    <w:rsid w:val="00C34661"/>
    <w:rsid w:val="00C35964"/>
    <w:rsid w:val="00C35B69"/>
    <w:rsid w:val="00C37581"/>
    <w:rsid w:val="00C37742"/>
    <w:rsid w:val="00C3798B"/>
    <w:rsid w:val="00C37ED5"/>
    <w:rsid w:val="00C4049C"/>
    <w:rsid w:val="00C44838"/>
    <w:rsid w:val="00C45094"/>
    <w:rsid w:val="00C53FF2"/>
    <w:rsid w:val="00C54683"/>
    <w:rsid w:val="00C56229"/>
    <w:rsid w:val="00C5654E"/>
    <w:rsid w:val="00C5749A"/>
    <w:rsid w:val="00C577A2"/>
    <w:rsid w:val="00C6689D"/>
    <w:rsid w:val="00C676CC"/>
    <w:rsid w:val="00C72A9D"/>
    <w:rsid w:val="00C72C9A"/>
    <w:rsid w:val="00C73872"/>
    <w:rsid w:val="00C76F18"/>
    <w:rsid w:val="00C7770A"/>
    <w:rsid w:val="00C802B8"/>
    <w:rsid w:val="00C807F8"/>
    <w:rsid w:val="00C81D99"/>
    <w:rsid w:val="00C82663"/>
    <w:rsid w:val="00C82958"/>
    <w:rsid w:val="00C83C89"/>
    <w:rsid w:val="00C85FF2"/>
    <w:rsid w:val="00C86485"/>
    <w:rsid w:val="00C86C71"/>
    <w:rsid w:val="00C90AA0"/>
    <w:rsid w:val="00C90C58"/>
    <w:rsid w:val="00C90D53"/>
    <w:rsid w:val="00C924F8"/>
    <w:rsid w:val="00C925CF"/>
    <w:rsid w:val="00C92A47"/>
    <w:rsid w:val="00C92CD4"/>
    <w:rsid w:val="00C92EF8"/>
    <w:rsid w:val="00C94E8A"/>
    <w:rsid w:val="00C95085"/>
    <w:rsid w:val="00C95840"/>
    <w:rsid w:val="00C9647C"/>
    <w:rsid w:val="00CA041B"/>
    <w:rsid w:val="00CA17B9"/>
    <w:rsid w:val="00CA47D4"/>
    <w:rsid w:val="00CA5357"/>
    <w:rsid w:val="00CA5AB3"/>
    <w:rsid w:val="00CA6767"/>
    <w:rsid w:val="00CA7B8A"/>
    <w:rsid w:val="00CB1D06"/>
    <w:rsid w:val="00CB2220"/>
    <w:rsid w:val="00CB40E0"/>
    <w:rsid w:val="00CB416F"/>
    <w:rsid w:val="00CB4803"/>
    <w:rsid w:val="00CB60C1"/>
    <w:rsid w:val="00CB6CF6"/>
    <w:rsid w:val="00CB78D3"/>
    <w:rsid w:val="00CB7EDE"/>
    <w:rsid w:val="00CC0D1B"/>
    <w:rsid w:val="00CC1BFE"/>
    <w:rsid w:val="00CC4CE7"/>
    <w:rsid w:val="00CC6502"/>
    <w:rsid w:val="00CD0FFE"/>
    <w:rsid w:val="00CD1E89"/>
    <w:rsid w:val="00CD2B12"/>
    <w:rsid w:val="00CD2E37"/>
    <w:rsid w:val="00CD3FF9"/>
    <w:rsid w:val="00CD516E"/>
    <w:rsid w:val="00CE0012"/>
    <w:rsid w:val="00CE249F"/>
    <w:rsid w:val="00CE2657"/>
    <w:rsid w:val="00CE308A"/>
    <w:rsid w:val="00CE3C9D"/>
    <w:rsid w:val="00CE4C9E"/>
    <w:rsid w:val="00CE4F5C"/>
    <w:rsid w:val="00CE704E"/>
    <w:rsid w:val="00CF02CF"/>
    <w:rsid w:val="00CF0A2F"/>
    <w:rsid w:val="00CF20A4"/>
    <w:rsid w:val="00CF3AF5"/>
    <w:rsid w:val="00CF4CDE"/>
    <w:rsid w:val="00CF4D07"/>
    <w:rsid w:val="00CF589C"/>
    <w:rsid w:val="00CF712A"/>
    <w:rsid w:val="00D00FF2"/>
    <w:rsid w:val="00D056D8"/>
    <w:rsid w:val="00D05F23"/>
    <w:rsid w:val="00D1062C"/>
    <w:rsid w:val="00D133BB"/>
    <w:rsid w:val="00D13DD9"/>
    <w:rsid w:val="00D15029"/>
    <w:rsid w:val="00D161B7"/>
    <w:rsid w:val="00D1766E"/>
    <w:rsid w:val="00D210DE"/>
    <w:rsid w:val="00D225A7"/>
    <w:rsid w:val="00D22BBF"/>
    <w:rsid w:val="00D2374E"/>
    <w:rsid w:val="00D2408D"/>
    <w:rsid w:val="00D268AF"/>
    <w:rsid w:val="00D30285"/>
    <w:rsid w:val="00D30A76"/>
    <w:rsid w:val="00D32AE2"/>
    <w:rsid w:val="00D331C5"/>
    <w:rsid w:val="00D338B7"/>
    <w:rsid w:val="00D33B80"/>
    <w:rsid w:val="00D33C8D"/>
    <w:rsid w:val="00D3560C"/>
    <w:rsid w:val="00D35A88"/>
    <w:rsid w:val="00D37C12"/>
    <w:rsid w:val="00D41B57"/>
    <w:rsid w:val="00D42175"/>
    <w:rsid w:val="00D4229E"/>
    <w:rsid w:val="00D44640"/>
    <w:rsid w:val="00D449BB"/>
    <w:rsid w:val="00D45446"/>
    <w:rsid w:val="00D47E41"/>
    <w:rsid w:val="00D50C73"/>
    <w:rsid w:val="00D52067"/>
    <w:rsid w:val="00D530AB"/>
    <w:rsid w:val="00D556A3"/>
    <w:rsid w:val="00D56F0A"/>
    <w:rsid w:val="00D60538"/>
    <w:rsid w:val="00D61876"/>
    <w:rsid w:val="00D630E4"/>
    <w:rsid w:val="00D6369B"/>
    <w:rsid w:val="00D64882"/>
    <w:rsid w:val="00D649E3"/>
    <w:rsid w:val="00D6651D"/>
    <w:rsid w:val="00D66B66"/>
    <w:rsid w:val="00D67C7A"/>
    <w:rsid w:val="00D67D38"/>
    <w:rsid w:val="00D715AA"/>
    <w:rsid w:val="00D715EA"/>
    <w:rsid w:val="00D71D2E"/>
    <w:rsid w:val="00D73ED2"/>
    <w:rsid w:val="00D800D1"/>
    <w:rsid w:val="00D80857"/>
    <w:rsid w:val="00D80A5F"/>
    <w:rsid w:val="00D80E72"/>
    <w:rsid w:val="00D81B03"/>
    <w:rsid w:val="00D830E5"/>
    <w:rsid w:val="00D83B61"/>
    <w:rsid w:val="00D8503B"/>
    <w:rsid w:val="00D90691"/>
    <w:rsid w:val="00D90D66"/>
    <w:rsid w:val="00D93FBB"/>
    <w:rsid w:val="00D94106"/>
    <w:rsid w:val="00D94320"/>
    <w:rsid w:val="00D95175"/>
    <w:rsid w:val="00D95E32"/>
    <w:rsid w:val="00D96894"/>
    <w:rsid w:val="00DA04CD"/>
    <w:rsid w:val="00DA1EFF"/>
    <w:rsid w:val="00DA21E2"/>
    <w:rsid w:val="00DA3A96"/>
    <w:rsid w:val="00DA709A"/>
    <w:rsid w:val="00DA719E"/>
    <w:rsid w:val="00DB069A"/>
    <w:rsid w:val="00DB10DA"/>
    <w:rsid w:val="00DB1D10"/>
    <w:rsid w:val="00DB4280"/>
    <w:rsid w:val="00DB7E64"/>
    <w:rsid w:val="00DC0E47"/>
    <w:rsid w:val="00DC124A"/>
    <w:rsid w:val="00DC49D6"/>
    <w:rsid w:val="00DC752A"/>
    <w:rsid w:val="00DD0C96"/>
    <w:rsid w:val="00DD47FF"/>
    <w:rsid w:val="00DD5DDC"/>
    <w:rsid w:val="00DE103C"/>
    <w:rsid w:val="00DE17DE"/>
    <w:rsid w:val="00DE2A51"/>
    <w:rsid w:val="00DE4107"/>
    <w:rsid w:val="00DE51A9"/>
    <w:rsid w:val="00DE707C"/>
    <w:rsid w:val="00DE70C3"/>
    <w:rsid w:val="00DE7310"/>
    <w:rsid w:val="00DF293C"/>
    <w:rsid w:val="00DF2D51"/>
    <w:rsid w:val="00DF3898"/>
    <w:rsid w:val="00DF3B98"/>
    <w:rsid w:val="00DF474A"/>
    <w:rsid w:val="00DF54FC"/>
    <w:rsid w:val="00DF7DBB"/>
    <w:rsid w:val="00E011C3"/>
    <w:rsid w:val="00E01296"/>
    <w:rsid w:val="00E0219B"/>
    <w:rsid w:val="00E02C8E"/>
    <w:rsid w:val="00E03C52"/>
    <w:rsid w:val="00E04F08"/>
    <w:rsid w:val="00E052BD"/>
    <w:rsid w:val="00E05B16"/>
    <w:rsid w:val="00E07BFC"/>
    <w:rsid w:val="00E100BF"/>
    <w:rsid w:val="00E152E5"/>
    <w:rsid w:val="00E1614C"/>
    <w:rsid w:val="00E16516"/>
    <w:rsid w:val="00E20A4E"/>
    <w:rsid w:val="00E22E88"/>
    <w:rsid w:val="00E25530"/>
    <w:rsid w:val="00E30276"/>
    <w:rsid w:val="00E3083E"/>
    <w:rsid w:val="00E31FBA"/>
    <w:rsid w:val="00E323A9"/>
    <w:rsid w:val="00E3522B"/>
    <w:rsid w:val="00E35AA6"/>
    <w:rsid w:val="00E37890"/>
    <w:rsid w:val="00E379D2"/>
    <w:rsid w:val="00E4383F"/>
    <w:rsid w:val="00E438BE"/>
    <w:rsid w:val="00E43910"/>
    <w:rsid w:val="00E43972"/>
    <w:rsid w:val="00E43C4F"/>
    <w:rsid w:val="00E46BD5"/>
    <w:rsid w:val="00E50249"/>
    <w:rsid w:val="00E50F72"/>
    <w:rsid w:val="00E523E8"/>
    <w:rsid w:val="00E52679"/>
    <w:rsid w:val="00E536FF"/>
    <w:rsid w:val="00E53A26"/>
    <w:rsid w:val="00E544AD"/>
    <w:rsid w:val="00E545AB"/>
    <w:rsid w:val="00E56B55"/>
    <w:rsid w:val="00E57CBE"/>
    <w:rsid w:val="00E6221B"/>
    <w:rsid w:val="00E643FF"/>
    <w:rsid w:val="00E64D08"/>
    <w:rsid w:val="00E65292"/>
    <w:rsid w:val="00E679F1"/>
    <w:rsid w:val="00E7029E"/>
    <w:rsid w:val="00E702C2"/>
    <w:rsid w:val="00E72678"/>
    <w:rsid w:val="00E74002"/>
    <w:rsid w:val="00E74893"/>
    <w:rsid w:val="00E74DCB"/>
    <w:rsid w:val="00E77C23"/>
    <w:rsid w:val="00E801B2"/>
    <w:rsid w:val="00E829DC"/>
    <w:rsid w:val="00E84AD5"/>
    <w:rsid w:val="00E84BB4"/>
    <w:rsid w:val="00E84F43"/>
    <w:rsid w:val="00E9066F"/>
    <w:rsid w:val="00E911B3"/>
    <w:rsid w:val="00E9313F"/>
    <w:rsid w:val="00E95464"/>
    <w:rsid w:val="00E95BA9"/>
    <w:rsid w:val="00E96993"/>
    <w:rsid w:val="00E97774"/>
    <w:rsid w:val="00EA1F9D"/>
    <w:rsid w:val="00EA38B9"/>
    <w:rsid w:val="00EA399A"/>
    <w:rsid w:val="00EA39AD"/>
    <w:rsid w:val="00EA3A24"/>
    <w:rsid w:val="00EA74EA"/>
    <w:rsid w:val="00EB0FF6"/>
    <w:rsid w:val="00EB2700"/>
    <w:rsid w:val="00EB3EF3"/>
    <w:rsid w:val="00EB4295"/>
    <w:rsid w:val="00EB5378"/>
    <w:rsid w:val="00EB555B"/>
    <w:rsid w:val="00EB7718"/>
    <w:rsid w:val="00EB7B97"/>
    <w:rsid w:val="00EC10B4"/>
    <w:rsid w:val="00EC4187"/>
    <w:rsid w:val="00EC4BD1"/>
    <w:rsid w:val="00EC77BA"/>
    <w:rsid w:val="00EC77C7"/>
    <w:rsid w:val="00ED0CD6"/>
    <w:rsid w:val="00ED2570"/>
    <w:rsid w:val="00ED3346"/>
    <w:rsid w:val="00ED3891"/>
    <w:rsid w:val="00ED54F6"/>
    <w:rsid w:val="00ED5E77"/>
    <w:rsid w:val="00ED78C5"/>
    <w:rsid w:val="00EE10A7"/>
    <w:rsid w:val="00EE16A9"/>
    <w:rsid w:val="00EE1E3B"/>
    <w:rsid w:val="00EE3B6D"/>
    <w:rsid w:val="00EE4CC2"/>
    <w:rsid w:val="00EE52E9"/>
    <w:rsid w:val="00EE689D"/>
    <w:rsid w:val="00EE7DD4"/>
    <w:rsid w:val="00EF02AE"/>
    <w:rsid w:val="00EF1782"/>
    <w:rsid w:val="00EF3EEA"/>
    <w:rsid w:val="00EF411D"/>
    <w:rsid w:val="00EF5E34"/>
    <w:rsid w:val="00EF7671"/>
    <w:rsid w:val="00EF7A57"/>
    <w:rsid w:val="00F005AB"/>
    <w:rsid w:val="00F01572"/>
    <w:rsid w:val="00F02324"/>
    <w:rsid w:val="00F03E51"/>
    <w:rsid w:val="00F07BA1"/>
    <w:rsid w:val="00F1097D"/>
    <w:rsid w:val="00F115E5"/>
    <w:rsid w:val="00F11695"/>
    <w:rsid w:val="00F126E7"/>
    <w:rsid w:val="00F1324F"/>
    <w:rsid w:val="00F13D75"/>
    <w:rsid w:val="00F14178"/>
    <w:rsid w:val="00F15E20"/>
    <w:rsid w:val="00F162A2"/>
    <w:rsid w:val="00F17120"/>
    <w:rsid w:val="00F17844"/>
    <w:rsid w:val="00F20CAC"/>
    <w:rsid w:val="00F2117E"/>
    <w:rsid w:val="00F21C4D"/>
    <w:rsid w:val="00F2327B"/>
    <w:rsid w:val="00F238FD"/>
    <w:rsid w:val="00F23CC8"/>
    <w:rsid w:val="00F243E4"/>
    <w:rsid w:val="00F256B4"/>
    <w:rsid w:val="00F25753"/>
    <w:rsid w:val="00F25B5C"/>
    <w:rsid w:val="00F264EB"/>
    <w:rsid w:val="00F317C0"/>
    <w:rsid w:val="00F3255E"/>
    <w:rsid w:val="00F33B4B"/>
    <w:rsid w:val="00F3434F"/>
    <w:rsid w:val="00F35454"/>
    <w:rsid w:val="00F373FF"/>
    <w:rsid w:val="00F40EF2"/>
    <w:rsid w:val="00F44FC2"/>
    <w:rsid w:val="00F44FC3"/>
    <w:rsid w:val="00F4542E"/>
    <w:rsid w:val="00F47FAB"/>
    <w:rsid w:val="00F50C60"/>
    <w:rsid w:val="00F50DD3"/>
    <w:rsid w:val="00F54182"/>
    <w:rsid w:val="00F54410"/>
    <w:rsid w:val="00F5523B"/>
    <w:rsid w:val="00F55A05"/>
    <w:rsid w:val="00F600CB"/>
    <w:rsid w:val="00F60193"/>
    <w:rsid w:val="00F604DC"/>
    <w:rsid w:val="00F6447C"/>
    <w:rsid w:val="00F6568A"/>
    <w:rsid w:val="00F6678F"/>
    <w:rsid w:val="00F72715"/>
    <w:rsid w:val="00F8186B"/>
    <w:rsid w:val="00F82504"/>
    <w:rsid w:val="00F83C00"/>
    <w:rsid w:val="00F8474E"/>
    <w:rsid w:val="00F87FA5"/>
    <w:rsid w:val="00F907A9"/>
    <w:rsid w:val="00F92C66"/>
    <w:rsid w:val="00F936AC"/>
    <w:rsid w:val="00F93E2B"/>
    <w:rsid w:val="00F941A2"/>
    <w:rsid w:val="00F97013"/>
    <w:rsid w:val="00FA0871"/>
    <w:rsid w:val="00FA0B35"/>
    <w:rsid w:val="00FA1DB2"/>
    <w:rsid w:val="00FA1F6A"/>
    <w:rsid w:val="00FA1FF9"/>
    <w:rsid w:val="00FA32CB"/>
    <w:rsid w:val="00FA4470"/>
    <w:rsid w:val="00FA5A40"/>
    <w:rsid w:val="00FA7CE1"/>
    <w:rsid w:val="00FB058E"/>
    <w:rsid w:val="00FB0A7D"/>
    <w:rsid w:val="00FB3811"/>
    <w:rsid w:val="00FB4312"/>
    <w:rsid w:val="00FB4444"/>
    <w:rsid w:val="00FB52EA"/>
    <w:rsid w:val="00FB730D"/>
    <w:rsid w:val="00FB7F0A"/>
    <w:rsid w:val="00FC02BF"/>
    <w:rsid w:val="00FC0B4B"/>
    <w:rsid w:val="00FC134D"/>
    <w:rsid w:val="00FC1BF4"/>
    <w:rsid w:val="00FC2E8E"/>
    <w:rsid w:val="00FC4232"/>
    <w:rsid w:val="00FC5738"/>
    <w:rsid w:val="00FD0887"/>
    <w:rsid w:val="00FD09AA"/>
    <w:rsid w:val="00FD460E"/>
    <w:rsid w:val="00FD4EB7"/>
    <w:rsid w:val="00FD5C38"/>
    <w:rsid w:val="00FD5C53"/>
    <w:rsid w:val="00FD6C44"/>
    <w:rsid w:val="00FD7641"/>
    <w:rsid w:val="00FE039A"/>
    <w:rsid w:val="00FE2E24"/>
    <w:rsid w:val="00FE5D1D"/>
    <w:rsid w:val="00FE7896"/>
    <w:rsid w:val="00FF0B80"/>
    <w:rsid w:val="00FF14FD"/>
    <w:rsid w:val="00FF2545"/>
    <w:rsid w:val="00FF2D9C"/>
    <w:rsid w:val="00FF4935"/>
    <w:rsid w:val="00FF59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26401"/>
  <w15:docId w15:val="{5D7AB60B-21AE-479E-940B-7997D6C6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11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CFD"/>
    <w:pPr>
      <w:ind w:left="720"/>
      <w:contextualSpacing/>
    </w:pPr>
    <w:rPr>
      <w:rFonts w:eastAsia="Times New Roman"/>
      <w:lang w:eastAsia="en-GB"/>
    </w:rPr>
  </w:style>
  <w:style w:type="character" w:styleId="Hyperlink">
    <w:name w:val="Hyperlink"/>
    <w:basedOn w:val="DefaultParagraphFont"/>
    <w:uiPriority w:val="99"/>
    <w:unhideWhenUsed/>
    <w:rsid w:val="00A34675"/>
    <w:rPr>
      <w:strike w:val="0"/>
      <w:dstrike w:val="0"/>
      <w:color w:val="0066CC"/>
      <w:u w:val="none"/>
      <w:effect w:val="none"/>
    </w:rPr>
  </w:style>
  <w:style w:type="paragraph" w:styleId="Header">
    <w:name w:val="header"/>
    <w:basedOn w:val="Normal"/>
    <w:link w:val="HeaderChar"/>
    <w:uiPriority w:val="99"/>
    <w:unhideWhenUsed/>
    <w:rsid w:val="0015428E"/>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5428E"/>
  </w:style>
  <w:style w:type="paragraph" w:styleId="Footer">
    <w:name w:val="footer"/>
    <w:basedOn w:val="Normal"/>
    <w:link w:val="FooterChar"/>
    <w:uiPriority w:val="99"/>
    <w:unhideWhenUsed/>
    <w:rsid w:val="0015428E"/>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5428E"/>
  </w:style>
  <w:style w:type="paragraph" w:styleId="BalloonText">
    <w:name w:val="Balloon Text"/>
    <w:basedOn w:val="Normal"/>
    <w:link w:val="BalloonTextChar"/>
    <w:uiPriority w:val="99"/>
    <w:semiHidden/>
    <w:unhideWhenUsed/>
    <w:rsid w:val="0015428E"/>
    <w:rPr>
      <w:rFonts w:ascii="Tahoma" w:hAnsi="Tahoma" w:cs="Tahoma"/>
      <w:sz w:val="16"/>
      <w:szCs w:val="16"/>
    </w:rPr>
  </w:style>
  <w:style w:type="character" w:customStyle="1" w:styleId="BalloonTextChar">
    <w:name w:val="Balloon Text Char"/>
    <w:basedOn w:val="DefaultParagraphFont"/>
    <w:link w:val="BalloonText"/>
    <w:uiPriority w:val="99"/>
    <w:semiHidden/>
    <w:rsid w:val="0015428E"/>
    <w:rPr>
      <w:rFonts w:ascii="Tahoma" w:hAnsi="Tahoma" w:cs="Tahoma"/>
      <w:sz w:val="16"/>
      <w:szCs w:val="16"/>
    </w:rPr>
  </w:style>
  <w:style w:type="paragraph" w:customStyle="1" w:styleId="xmsonormal">
    <w:name w:val="x_msonormal"/>
    <w:basedOn w:val="Normal"/>
    <w:link w:val="xmsonormalChar"/>
    <w:rsid w:val="00262207"/>
    <w:pPr>
      <w:spacing w:before="100" w:beforeAutospacing="1" w:after="100" w:afterAutospacing="1"/>
    </w:pPr>
  </w:style>
  <w:style w:type="paragraph" w:styleId="NormalWeb">
    <w:name w:val="Normal (Web)"/>
    <w:basedOn w:val="Normal"/>
    <w:uiPriority w:val="99"/>
    <w:unhideWhenUsed/>
    <w:rsid w:val="000058A7"/>
    <w:pPr>
      <w:spacing w:after="160" w:line="259" w:lineRule="auto"/>
    </w:pPr>
  </w:style>
  <w:style w:type="table" w:styleId="TableGrid">
    <w:name w:val="Table Grid"/>
    <w:basedOn w:val="TableNormal"/>
    <w:uiPriority w:val="39"/>
    <w:rsid w:val="0000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4647A"/>
  </w:style>
  <w:style w:type="character" w:styleId="CommentReference">
    <w:name w:val="annotation reference"/>
    <w:basedOn w:val="DefaultParagraphFont"/>
    <w:uiPriority w:val="99"/>
    <w:semiHidden/>
    <w:unhideWhenUsed/>
    <w:rsid w:val="00A833FC"/>
    <w:rPr>
      <w:sz w:val="16"/>
      <w:szCs w:val="16"/>
    </w:rPr>
  </w:style>
  <w:style w:type="paragraph" w:styleId="CommentText">
    <w:name w:val="annotation text"/>
    <w:basedOn w:val="Normal"/>
    <w:link w:val="CommentTextChar"/>
    <w:uiPriority w:val="99"/>
    <w:unhideWhenUsed/>
    <w:rsid w:val="00A833FC"/>
    <w:rPr>
      <w:sz w:val="20"/>
      <w:szCs w:val="20"/>
    </w:rPr>
  </w:style>
  <w:style w:type="character" w:customStyle="1" w:styleId="CommentTextChar">
    <w:name w:val="Comment Text Char"/>
    <w:basedOn w:val="DefaultParagraphFont"/>
    <w:link w:val="CommentText"/>
    <w:uiPriority w:val="99"/>
    <w:rsid w:val="00A833FC"/>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33FC"/>
    <w:rPr>
      <w:b/>
      <w:bCs/>
    </w:rPr>
  </w:style>
  <w:style w:type="character" w:customStyle="1" w:styleId="CommentSubjectChar">
    <w:name w:val="Comment Subject Char"/>
    <w:basedOn w:val="CommentTextChar"/>
    <w:link w:val="CommentSubject"/>
    <w:uiPriority w:val="99"/>
    <w:semiHidden/>
    <w:rsid w:val="00A833FC"/>
    <w:rPr>
      <w:rFonts w:ascii="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1543F8"/>
    <w:rPr>
      <w:color w:val="808080"/>
      <w:shd w:val="clear" w:color="auto" w:fill="E6E6E6"/>
    </w:rPr>
  </w:style>
  <w:style w:type="table" w:customStyle="1" w:styleId="TableGrid1">
    <w:name w:val="Table Grid1"/>
    <w:basedOn w:val="TableNormal"/>
    <w:next w:val="TableGrid"/>
    <w:uiPriority w:val="39"/>
    <w:rsid w:val="00E308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60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E4798"/>
    <w:rPr>
      <w:color w:val="800080" w:themeColor="followedHyperlink"/>
      <w:u w:val="single"/>
    </w:rPr>
  </w:style>
  <w:style w:type="character" w:customStyle="1" w:styleId="UnresolvedMention2">
    <w:name w:val="Unresolved Mention2"/>
    <w:basedOn w:val="DefaultParagraphFont"/>
    <w:uiPriority w:val="99"/>
    <w:semiHidden/>
    <w:unhideWhenUsed/>
    <w:rsid w:val="00425835"/>
    <w:rPr>
      <w:color w:val="808080"/>
      <w:shd w:val="clear" w:color="auto" w:fill="E6E6E6"/>
    </w:rPr>
  </w:style>
  <w:style w:type="character" w:customStyle="1" w:styleId="UnresolvedMention3">
    <w:name w:val="Unresolved Mention3"/>
    <w:basedOn w:val="DefaultParagraphFont"/>
    <w:uiPriority w:val="99"/>
    <w:semiHidden/>
    <w:unhideWhenUsed/>
    <w:rsid w:val="00567112"/>
    <w:rPr>
      <w:color w:val="808080"/>
      <w:shd w:val="clear" w:color="auto" w:fill="E6E6E6"/>
    </w:rPr>
  </w:style>
  <w:style w:type="paragraph" w:styleId="Revision">
    <w:name w:val="Revision"/>
    <w:hidden/>
    <w:uiPriority w:val="99"/>
    <w:semiHidden/>
    <w:rsid w:val="00DD0C96"/>
    <w:pPr>
      <w:spacing w:after="0"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D338B7"/>
    <w:pPr>
      <w:jc w:val="center"/>
    </w:pPr>
    <w:rPr>
      <w:noProof/>
      <w:lang w:val="en-US"/>
    </w:rPr>
  </w:style>
  <w:style w:type="character" w:customStyle="1" w:styleId="xmsonormalChar">
    <w:name w:val="x_msonormal Char"/>
    <w:basedOn w:val="DefaultParagraphFont"/>
    <w:link w:val="xmsonormal"/>
    <w:rsid w:val="00D338B7"/>
    <w:rPr>
      <w:rFonts w:ascii="Times New Roman" w:hAnsi="Times New Roman" w:cs="Times New Roman"/>
      <w:sz w:val="24"/>
      <w:szCs w:val="24"/>
    </w:rPr>
  </w:style>
  <w:style w:type="character" w:customStyle="1" w:styleId="EndNoteBibliographyTitleChar">
    <w:name w:val="EndNote Bibliography Title Char"/>
    <w:basedOn w:val="xmsonormalChar"/>
    <w:link w:val="EndNoteBibliographyTitle"/>
    <w:rsid w:val="00D338B7"/>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D338B7"/>
    <w:pPr>
      <w:spacing w:line="480" w:lineRule="auto"/>
    </w:pPr>
    <w:rPr>
      <w:noProof/>
      <w:lang w:val="en-US"/>
    </w:rPr>
  </w:style>
  <w:style w:type="character" w:customStyle="1" w:styleId="EndNoteBibliographyChar">
    <w:name w:val="EndNote Bibliography Char"/>
    <w:basedOn w:val="xmsonormalChar"/>
    <w:link w:val="EndNoteBibliography"/>
    <w:rsid w:val="00D338B7"/>
    <w:rPr>
      <w:rFonts w:ascii="Times New Roman" w:hAnsi="Times New Roman" w:cs="Times New Roman"/>
      <w:noProof/>
      <w:sz w:val="24"/>
      <w:szCs w:val="24"/>
      <w:lang w:val="en-US"/>
    </w:rPr>
  </w:style>
  <w:style w:type="character" w:customStyle="1" w:styleId="UnresolvedMention4">
    <w:name w:val="Unresolved Mention4"/>
    <w:basedOn w:val="DefaultParagraphFont"/>
    <w:uiPriority w:val="99"/>
    <w:semiHidden/>
    <w:unhideWhenUsed/>
    <w:rsid w:val="005B01C6"/>
    <w:rPr>
      <w:color w:val="605E5C"/>
      <w:shd w:val="clear" w:color="auto" w:fill="E1DFDD"/>
    </w:rPr>
  </w:style>
  <w:style w:type="character" w:styleId="Strong">
    <w:name w:val="Strong"/>
    <w:basedOn w:val="DefaultParagraphFont"/>
    <w:uiPriority w:val="22"/>
    <w:qFormat/>
    <w:rsid w:val="00A66F7D"/>
    <w:rPr>
      <w:b/>
      <w:bCs/>
    </w:rPr>
  </w:style>
  <w:style w:type="character" w:customStyle="1" w:styleId="UnresolvedMention5">
    <w:name w:val="Unresolved Mention5"/>
    <w:basedOn w:val="DefaultParagraphFont"/>
    <w:uiPriority w:val="99"/>
    <w:semiHidden/>
    <w:unhideWhenUsed/>
    <w:rsid w:val="0025334A"/>
    <w:rPr>
      <w:color w:val="605E5C"/>
      <w:shd w:val="clear" w:color="auto" w:fill="E1DFDD"/>
    </w:rPr>
  </w:style>
  <w:style w:type="character" w:customStyle="1" w:styleId="highlight">
    <w:name w:val="highlight"/>
    <w:basedOn w:val="DefaultParagraphFont"/>
    <w:rsid w:val="00B1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4910">
      <w:bodyDiv w:val="1"/>
      <w:marLeft w:val="0"/>
      <w:marRight w:val="0"/>
      <w:marTop w:val="0"/>
      <w:marBottom w:val="0"/>
      <w:divBdr>
        <w:top w:val="none" w:sz="0" w:space="0" w:color="auto"/>
        <w:left w:val="none" w:sz="0" w:space="0" w:color="auto"/>
        <w:bottom w:val="none" w:sz="0" w:space="0" w:color="auto"/>
        <w:right w:val="none" w:sz="0" w:space="0" w:color="auto"/>
      </w:divBdr>
    </w:div>
    <w:div w:id="286854314">
      <w:bodyDiv w:val="1"/>
      <w:marLeft w:val="0"/>
      <w:marRight w:val="0"/>
      <w:marTop w:val="0"/>
      <w:marBottom w:val="0"/>
      <w:divBdr>
        <w:top w:val="none" w:sz="0" w:space="0" w:color="auto"/>
        <w:left w:val="none" w:sz="0" w:space="0" w:color="auto"/>
        <w:bottom w:val="none" w:sz="0" w:space="0" w:color="auto"/>
        <w:right w:val="none" w:sz="0" w:space="0" w:color="auto"/>
      </w:divBdr>
    </w:div>
    <w:div w:id="402143782">
      <w:bodyDiv w:val="1"/>
      <w:marLeft w:val="0"/>
      <w:marRight w:val="0"/>
      <w:marTop w:val="0"/>
      <w:marBottom w:val="0"/>
      <w:divBdr>
        <w:top w:val="none" w:sz="0" w:space="0" w:color="auto"/>
        <w:left w:val="none" w:sz="0" w:space="0" w:color="auto"/>
        <w:bottom w:val="none" w:sz="0" w:space="0" w:color="auto"/>
        <w:right w:val="none" w:sz="0" w:space="0" w:color="auto"/>
      </w:divBdr>
      <w:divsChild>
        <w:div w:id="1210149279">
          <w:marLeft w:val="0"/>
          <w:marRight w:val="0"/>
          <w:marTop w:val="0"/>
          <w:marBottom w:val="0"/>
          <w:divBdr>
            <w:top w:val="none" w:sz="0" w:space="0" w:color="auto"/>
            <w:left w:val="none" w:sz="0" w:space="0" w:color="auto"/>
            <w:bottom w:val="none" w:sz="0" w:space="0" w:color="auto"/>
            <w:right w:val="none" w:sz="0" w:space="0" w:color="auto"/>
          </w:divBdr>
          <w:divsChild>
            <w:div w:id="61801507">
              <w:marLeft w:val="0"/>
              <w:marRight w:val="0"/>
              <w:marTop w:val="0"/>
              <w:marBottom w:val="0"/>
              <w:divBdr>
                <w:top w:val="none" w:sz="0" w:space="0" w:color="auto"/>
                <w:left w:val="none" w:sz="0" w:space="0" w:color="auto"/>
                <w:bottom w:val="none" w:sz="0" w:space="0" w:color="auto"/>
                <w:right w:val="none" w:sz="0" w:space="0" w:color="auto"/>
              </w:divBdr>
              <w:divsChild>
                <w:div w:id="1142625505">
                  <w:marLeft w:val="0"/>
                  <w:marRight w:val="0"/>
                  <w:marTop w:val="0"/>
                  <w:marBottom w:val="0"/>
                  <w:divBdr>
                    <w:top w:val="none" w:sz="0" w:space="0" w:color="auto"/>
                    <w:left w:val="none" w:sz="0" w:space="0" w:color="auto"/>
                    <w:bottom w:val="none" w:sz="0" w:space="0" w:color="auto"/>
                    <w:right w:val="none" w:sz="0" w:space="0" w:color="auto"/>
                  </w:divBdr>
                  <w:divsChild>
                    <w:div w:id="129061305">
                      <w:marLeft w:val="0"/>
                      <w:marRight w:val="0"/>
                      <w:marTop w:val="0"/>
                      <w:marBottom w:val="0"/>
                      <w:divBdr>
                        <w:top w:val="none" w:sz="0" w:space="0" w:color="auto"/>
                        <w:left w:val="none" w:sz="0" w:space="0" w:color="auto"/>
                        <w:bottom w:val="none" w:sz="0" w:space="0" w:color="auto"/>
                        <w:right w:val="none" w:sz="0" w:space="0" w:color="auto"/>
                      </w:divBdr>
                      <w:divsChild>
                        <w:div w:id="1359816114">
                          <w:marLeft w:val="0"/>
                          <w:marRight w:val="0"/>
                          <w:marTop w:val="0"/>
                          <w:marBottom w:val="0"/>
                          <w:divBdr>
                            <w:top w:val="none" w:sz="0" w:space="0" w:color="auto"/>
                            <w:left w:val="none" w:sz="0" w:space="0" w:color="auto"/>
                            <w:bottom w:val="none" w:sz="0" w:space="0" w:color="auto"/>
                            <w:right w:val="none" w:sz="0" w:space="0" w:color="auto"/>
                          </w:divBdr>
                        </w:div>
                        <w:div w:id="939414214">
                          <w:marLeft w:val="0"/>
                          <w:marRight w:val="0"/>
                          <w:marTop w:val="0"/>
                          <w:marBottom w:val="0"/>
                          <w:divBdr>
                            <w:top w:val="none" w:sz="0" w:space="0" w:color="auto"/>
                            <w:left w:val="none" w:sz="0" w:space="0" w:color="auto"/>
                            <w:bottom w:val="none" w:sz="0" w:space="0" w:color="auto"/>
                            <w:right w:val="none" w:sz="0" w:space="0" w:color="auto"/>
                          </w:divBdr>
                        </w:div>
                        <w:div w:id="476144497">
                          <w:marLeft w:val="0"/>
                          <w:marRight w:val="0"/>
                          <w:marTop w:val="0"/>
                          <w:marBottom w:val="0"/>
                          <w:divBdr>
                            <w:top w:val="none" w:sz="0" w:space="0" w:color="auto"/>
                            <w:left w:val="none" w:sz="0" w:space="0" w:color="auto"/>
                            <w:bottom w:val="none" w:sz="0" w:space="0" w:color="auto"/>
                            <w:right w:val="none" w:sz="0" w:space="0" w:color="auto"/>
                          </w:divBdr>
                        </w:div>
                        <w:div w:id="289941620">
                          <w:marLeft w:val="0"/>
                          <w:marRight w:val="0"/>
                          <w:marTop w:val="0"/>
                          <w:marBottom w:val="0"/>
                          <w:divBdr>
                            <w:top w:val="none" w:sz="0" w:space="0" w:color="auto"/>
                            <w:left w:val="none" w:sz="0" w:space="0" w:color="auto"/>
                            <w:bottom w:val="none" w:sz="0" w:space="0" w:color="auto"/>
                            <w:right w:val="none" w:sz="0" w:space="0" w:color="auto"/>
                          </w:divBdr>
                        </w:div>
                        <w:div w:id="1857690127">
                          <w:marLeft w:val="0"/>
                          <w:marRight w:val="0"/>
                          <w:marTop w:val="0"/>
                          <w:marBottom w:val="0"/>
                          <w:divBdr>
                            <w:top w:val="none" w:sz="0" w:space="0" w:color="auto"/>
                            <w:left w:val="none" w:sz="0" w:space="0" w:color="auto"/>
                            <w:bottom w:val="none" w:sz="0" w:space="0" w:color="auto"/>
                            <w:right w:val="none" w:sz="0" w:space="0" w:color="auto"/>
                          </w:divBdr>
                        </w:div>
                        <w:div w:id="10084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83275">
      <w:bodyDiv w:val="1"/>
      <w:marLeft w:val="0"/>
      <w:marRight w:val="0"/>
      <w:marTop w:val="0"/>
      <w:marBottom w:val="0"/>
      <w:divBdr>
        <w:top w:val="none" w:sz="0" w:space="0" w:color="auto"/>
        <w:left w:val="none" w:sz="0" w:space="0" w:color="auto"/>
        <w:bottom w:val="none" w:sz="0" w:space="0" w:color="auto"/>
        <w:right w:val="none" w:sz="0" w:space="0" w:color="auto"/>
      </w:divBdr>
      <w:divsChild>
        <w:div w:id="333729858">
          <w:marLeft w:val="0"/>
          <w:marRight w:val="0"/>
          <w:marTop w:val="0"/>
          <w:marBottom w:val="0"/>
          <w:divBdr>
            <w:top w:val="none" w:sz="0" w:space="0" w:color="auto"/>
            <w:left w:val="none" w:sz="0" w:space="0" w:color="auto"/>
            <w:bottom w:val="none" w:sz="0" w:space="0" w:color="auto"/>
            <w:right w:val="none" w:sz="0" w:space="0" w:color="auto"/>
          </w:divBdr>
          <w:divsChild>
            <w:div w:id="1010910553">
              <w:marLeft w:val="0"/>
              <w:marRight w:val="0"/>
              <w:marTop w:val="0"/>
              <w:marBottom w:val="0"/>
              <w:divBdr>
                <w:top w:val="none" w:sz="0" w:space="0" w:color="auto"/>
                <w:left w:val="none" w:sz="0" w:space="0" w:color="auto"/>
                <w:bottom w:val="none" w:sz="0" w:space="0" w:color="auto"/>
                <w:right w:val="none" w:sz="0" w:space="0" w:color="auto"/>
              </w:divBdr>
              <w:divsChild>
                <w:div w:id="7027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3398">
      <w:bodyDiv w:val="1"/>
      <w:marLeft w:val="0"/>
      <w:marRight w:val="0"/>
      <w:marTop w:val="0"/>
      <w:marBottom w:val="0"/>
      <w:divBdr>
        <w:top w:val="none" w:sz="0" w:space="0" w:color="auto"/>
        <w:left w:val="none" w:sz="0" w:space="0" w:color="auto"/>
        <w:bottom w:val="none" w:sz="0" w:space="0" w:color="auto"/>
        <w:right w:val="none" w:sz="0" w:space="0" w:color="auto"/>
      </w:divBdr>
    </w:div>
    <w:div w:id="1010569846">
      <w:bodyDiv w:val="1"/>
      <w:marLeft w:val="0"/>
      <w:marRight w:val="0"/>
      <w:marTop w:val="0"/>
      <w:marBottom w:val="0"/>
      <w:divBdr>
        <w:top w:val="none" w:sz="0" w:space="0" w:color="auto"/>
        <w:left w:val="none" w:sz="0" w:space="0" w:color="auto"/>
        <w:bottom w:val="none" w:sz="0" w:space="0" w:color="auto"/>
        <w:right w:val="none" w:sz="0" w:space="0" w:color="auto"/>
      </w:divBdr>
    </w:div>
    <w:div w:id="1055007244">
      <w:bodyDiv w:val="1"/>
      <w:marLeft w:val="0"/>
      <w:marRight w:val="0"/>
      <w:marTop w:val="0"/>
      <w:marBottom w:val="0"/>
      <w:divBdr>
        <w:top w:val="none" w:sz="0" w:space="0" w:color="auto"/>
        <w:left w:val="none" w:sz="0" w:space="0" w:color="auto"/>
        <w:bottom w:val="none" w:sz="0" w:space="0" w:color="auto"/>
        <w:right w:val="none" w:sz="0" w:space="0" w:color="auto"/>
      </w:divBdr>
    </w:div>
    <w:div w:id="1077509903">
      <w:bodyDiv w:val="1"/>
      <w:marLeft w:val="0"/>
      <w:marRight w:val="0"/>
      <w:marTop w:val="0"/>
      <w:marBottom w:val="0"/>
      <w:divBdr>
        <w:top w:val="none" w:sz="0" w:space="0" w:color="auto"/>
        <w:left w:val="none" w:sz="0" w:space="0" w:color="auto"/>
        <w:bottom w:val="none" w:sz="0" w:space="0" w:color="auto"/>
        <w:right w:val="none" w:sz="0" w:space="0" w:color="auto"/>
      </w:divBdr>
      <w:divsChild>
        <w:div w:id="1582830805">
          <w:marLeft w:val="0"/>
          <w:marRight w:val="0"/>
          <w:marTop w:val="0"/>
          <w:marBottom w:val="0"/>
          <w:divBdr>
            <w:top w:val="none" w:sz="0" w:space="0" w:color="auto"/>
            <w:left w:val="none" w:sz="0" w:space="0" w:color="auto"/>
            <w:bottom w:val="none" w:sz="0" w:space="0" w:color="auto"/>
            <w:right w:val="none" w:sz="0" w:space="0" w:color="auto"/>
          </w:divBdr>
        </w:div>
        <w:div w:id="784620956">
          <w:marLeft w:val="0"/>
          <w:marRight w:val="0"/>
          <w:marTop w:val="0"/>
          <w:marBottom w:val="0"/>
          <w:divBdr>
            <w:top w:val="none" w:sz="0" w:space="0" w:color="auto"/>
            <w:left w:val="none" w:sz="0" w:space="0" w:color="auto"/>
            <w:bottom w:val="none" w:sz="0" w:space="0" w:color="auto"/>
            <w:right w:val="none" w:sz="0" w:space="0" w:color="auto"/>
          </w:divBdr>
        </w:div>
        <w:div w:id="1118259396">
          <w:marLeft w:val="0"/>
          <w:marRight w:val="0"/>
          <w:marTop w:val="0"/>
          <w:marBottom w:val="0"/>
          <w:divBdr>
            <w:top w:val="none" w:sz="0" w:space="0" w:color="auto"/>
            <w:left w:val="none" w:sz="0" w:space="0" w:color="auto"/>
            <w:bottom w:val="none" w:sz="0" w:space="0" w:color="auto"/>
            <w:right w:val="none" w:sz="0" w:space="0" w:color="auto"/>
          </w:divBdr>
        </w:div>
        <w:div w:id="567351343">
          <w:marLeft w:val="0"/>
          <w:marRight w:val="0"/>
          <w:marTop w:val="0"/>
          <w:marBottom w:val="0"/>
          <w:divBdr>
            <w:top w:val="none" w:sz="0" w:space="0" w:color="auto"/>
            <w:left w:val="none" w:sz="0" w:space="0" w:color="auto"/>
            <w:bottom w:val="none" w:sz="0" w:space="0" w:color="auto"/>
            <w:right w:val="none" w:sz="0" w:space="0" w:color="auto"/>
          </w:divBdr>
        </w:div>
      </w:divsChild>
    </w:div>
    <w:div w:id="1175995396">
      <w:bodyDiv w:val="1"/>
      <w:marLeft w:val="0"/>
      <w:marRight w:val="0"/>
      <w:marTop w:val="0"/>
      <w:marBottom w:val="0"/>
      <w:divBdr>
        <w:top w:val="none" w:sz="0" w:space="0" w:color="auto"/>
        <w:left w:val="none" w:sz="0" w:space="0" w:color="auto"/>
        <w:bottom w:val="none" w:sz="0" w:space="0" w:color="auto"/>
        <w:right w:val="none" w:sz="0" w:space="0" w:color="auto"/>
      </w:divBdr>
      <w:divsChild>
        <w:div w:id="358970051">
          <w:marLeft w:val="0"/>
          <w:marRight w:val="0"/>
          <w:marTop w:val="0"/>
          <w:marBottom w:val="0"/>
          <w:divBdr>
            <w:top w:val="none" w:sz="0" w:space="0" w:color="auto"/>
            <w:left w:val="none" w:sz="0" w:space="0" w:color="auto"/>
            <w:bottom w:val="none" w:sz="0" w:space="0" w:color="auto"/>
            <w:right w:val="none" w:sz="0" w:space="0" w:color="auto"/>
          </w:divBdr>
          <w:divsChild>
            <w:div w:id="475994331">
              <w:marLeft w:val="0"/>
              <w:marRight w:val="0"/>
              <w:marTop w:val="0"/>
              <w:marBottom w:val="0"/>
              <w:divBdr>
                <w:top w:val="none" w:sz="0" w:space="0" w:color="auto"/>
                <w:left w:val="none" w:sz="0" w:space="0" w:color="auto"/>
                <w:bottom w:val="none" w:sz="0" w:space="0" w:color="auto"/>
                <w:right w:val="none" w:sz="0" w:space="0" w:color="auto"/>
              </w:divBdr>
              <w:divsChild>
                <w:div w:id="1971739411">
                  <w:marLeft w:val="0"/>
                  <w:marRight w:val="0"/>
                  <w:marTop w:val="0"/>
                  <w:marBottom w:val="0"/>
                  <w:divBdr>
                    <w:top w:val="none" w:sz="0" w:space="0" w:color="auto"/>
                    <w:left w:val="none" w:sz="0" w:space="0" w:color="auto"/>
                    <w:bottom w:val="none" w:sz="0" w:space="0" w:color="auto"/>
                    <w:right w:val="none" w:sz="0" w:space="0" w:color="auto"/>
                  </w:divBdr>
                  <w:divsChild>
                    <w:div w:id="1004163808">
                      <w:marLeft w:val="0"/>
                      <w:marRight w:val="0"/>
                      <w:marTop w:val="0"/>
                      <w:marBottom w:val="0"/>
                      <w:divBdr>
                        <w:top w:val="none" w:sz="0" w:space="0" w:color="auto"/>
                        <w:left w:val="none" w:sz="0" w:space="0" w:color="auto"/>
                        <w:bottom w:val="none" w:sz="0" w:space="0" w:color="auto"/>
                        <w:right w:val="none" w:sz="0" w:space="0" w:color="auto"/>
                      </w:divBdr>
                      <w:divsChild>
                        <w:div w:id="1982540618">
                          <w:marLeft w:val="0"/>
                          <w:marRight w:val="0"/>
                          <w:marTop w:val="0"/>
                          <w:marBottom w:val="210"/>
                          <w:divBdr>
                            <w:top w:val="none" w:sz="0" w:space="0" w:color="auto"/>
                            <w:left w:val="none" w:sz="0" w:space="0" w:color="auto"/>
                            <w:bottom w:val="none" w:sz="0" w:space="0" w:color="auto"/>
                            <w:right w:val="none" w:sz="0" w:space="0" w:color="auto"/>
                          </w:divBdr>
                          <w:divsChild>
                            <w:div w:id="1658606297">
                              <w:marLeft w:val="75"/>
                              <w:marRight w:val="75"/>
                              <w:marTop w:val="0"/>
                              <w:marBottom w:val="0"/>
                              <w:divBdr>
                                <w:top w:val="none" w:sz="0" w:space="0" w:color="auto"/>
                                <w:left w:val="none" w:sz="0" w:space="0" w:color="auto"/>
                                <w:bottom w:val="none" w:sz="0" w:space="0" w:color="auto"/>
                                <w:right w:val="none" w:sz="0" w:space="0" w:color="auto"/>
                              </w:divBdr>
                              <w:divsChild>
                                <w:div w:id="279187973">
                                  <w:marLeft w:val="0"/>
                                  <w:marRight w:val="0"/>
                                  <w:marTop w:val="0"/>
                                  <w:marBottom w:val="0"/>
                                  <w:divBdr>
                                    <w:top w:val="none" w:sz="0" w:space="0" w:color="auto"/>
                                    <w:left w:val="none" w:sz="0" w:space="0" w:color="auto"/>
                                    <w:bottom w:val="none" w:sz="0" w:space="0" w:color="auto"/>
                                    <w:right w:val="none" w:sz="0" w:space="0" w:color="auto"/>
                                  </w:divBdr>
                                  <w:divsChild>
                                    <w:div w:id="1757626453">
                                      <w:marLeft w:val="0"/>
                                      <w:marRight w:val="0"/>
                                      <w:marTop w:val="0"/>
                                      <w:marBottom w:val="0"/>
                                      <w:divBdr>
                                        <w:top w:val="none" w:sz="0" w:space="0" w:color="auto"/>
                                        <w:left w:val="none" w:sz="0" w:space="0" w:color="auto"/>
                                        <w:bottom w:val="none" w:sz="0" w:space="0" w:color="auto"/>
                                        <w:right w:val="none" w:sz="0" w:space="0" w:color="auto"/>
                                      </w:divBdr>
                                      <w:divsChild>
                                        <w:div w:id="243340539">
                                          <w:marLeft w:val="0"/>
                                          <w:marRight w:val="0"/>
                                          <w:marTop w:val="0"/>
                                          <w:marBottom w:val="0"/>
                                          <w:divBdr>
                                            <w:top w:val="none" w:sz="0" w:space="0" w:color="auto"/>
                                            <w:left w:val="none" w:sz="0" w:space="0" w:color="auto"/>
                                            <w:bottom w:val="none" w:sz="0" w:space="0" w:color="auto"/>
                                            <w:right w:val="none" w:sz="0" w:space="0" w:color="auto"/>
                                          </w:divBdr>
                                          <w:divsChild>
                                            <w:div w:id="1872717611">
                                              <w:marLeft w:val="0"/>
                                              <w:marRight w:val="0"/>
                                              <w:marTop w:val="0"/>
                                              <w:marBottom w:val="0"/>
                                              <w:divBdr>
                                                <w:top w:val="none" w:sz="0" w:space="0" w:color="auto"/>
                                                <w:left w:val="none" w:sz="0" w:space="0" w:color="auto"/>
                                                <w:bottom w:val="none" w:sz="0" w:space="0" w:color="auto"/>
                                                <w:right w:val="none" w:sz="0" w:space="0" w:color="auto"/>
                                              </w:divBdr>
                                              <w:divsChild>
                                                <w:div w:id="473722190">
                                                  <w:marLeft w:val="0"/>
                                                  <w:marRight w:val="0"/>
                                                  <w:marTop w:val="0"/>
                                                  <w:marBottom w:val="0"/>
                                                  <w:divBdr>
                                                    <w:top w:val="none" w:sz="0" w:space="0" w:color="auto"/>
                                                    <w:left w:val="none" w:sz="0" w:space="0" w:color="auto"/>
                                                    <w:bottom w:val="none" w:sz="0" w:space="0" w:color="auto"/>
                                                    <w:right w:val="none" w:sz="0" w:space="0" w:color="auto"/>
                                                  </w:divBdr>
                                                  <w:divsChild>
                                                    <w:div w:id="1215048608">
                                                      <w:marLeft w:val="0"/>
                                                      <w:marRight w:val="0"/>
                                                      <w:marTop w:val="0"/>
                                                      <w:marBottom w:val="0"/>
                                                      <w:divBdr>
                                                        <w:top w:val="none" w:sz="0" w:space="0" w:color="auto"/>
                                                        <w:left w:val="none" w:sz="0" w:space="0" w:color="auto"/>
                                                        <w:bottom w:val="none" w:sz="0" w:space="0" w:color="auto"/>
                                                        <w:right w:val="none" w:sz="0" w:space="0" w:color="auto"/>
                                                      </w:divBdr>
                                                      <w:divsChild>
                                                        <w:div w:id="1602031646">
                                                          <w:marLeft w:val="0"/>
                                                          <w:marRight w:val="0"/>
                                                          <w:marTop w:val="0"/>
                                                          <w:marBottom w:val="0"/>
                                                          <w:divBdr>
                                                            <w:top w:val="none" w:sz="0" w:space="0" w:color="auto"/>
                                                            <w:left w:val="none" w:sz="0" w:space="0" w:color="auto"/>
                                                            <w:bottom w:val="none" w:sz="0" w:space="0" w:color="auto"/>
                                                            <w:right w:val="none" w:sz="0" w:space="0" w:color="auto"/>
                                                          </w:divBdr>
                                                          <w:divsChild>
                                                            <w:div w:id="807014894">
                                                              <w:marLeft w:val="0"/>
                                                              <w:marRight w:val="0"/>
                                                              <w:marTop w:val="0"/>
                                                              <w:marBottom w:val="0"/>
                                                              <w:divBdr>
                                                                <w:top w:val="none" w:sz="0" w:space="0" w:color="auto"/>
                                                                <w:left w:val="none" w:sz="0" w:space="0" w:color="auto"/>
                                                                <w:bottom w:val="none" w:sz="0" w:space="0" w:color="auto"/>
                                                                <w:right w:val="none" w:sz="0" w:space="0" w:color="auto"/>
                                                              </w:divBdr>
                                                              <w:divsChild>
                                                                <w:div w:id="1356927532">
                                                                  <w:marLeft w:val="0"/>
                                                                  <w:marRight w:val="0"/>
                                                                  <w:marTop w:val="0"/>
                                                                  <w:marBottom w:val="0"/>
                                                                  <w:divBdr>
                                                                    <w:top w:val="none" w:sz="0" w:space="0" w:color="auto"/>
                                                                    <w:left w:val="none" w:sz="0" w:space="0" w:color="auto"/>
                                                                    <w:bottom w:val="none" w:sz="0" w:space="0" w:color="auto"/>
                                                                    <w:right w:val="none" w:sz="0" w:space="0" w:color="auto"/>
                                                                  </w:divBdr>
                                                                  <w:divsChild>
                                                                    <w:div w:id="487357334">
                                                                      <w:marLeft w:val="0"/>
                                                                      <w:marRight w:val="0"/>
                                                                      <w:marTop w:val="0"/>
                                                                      <w:marBottom w:val="0"/>
                                                                      <w:divBdr>
                                                                        <w:top w:val="none" w:sz="0" w:space="0" w:color="auto"/>
                                                                        <w:left w:val="none" w:sz="0" w:space="0" w:color="auto"/>
                                                                        <w:bottom w:val="none" w:sz="0" w:space="0" w:color="auto"/>
                                                                        <w:right w:val="none" w:sz="0" w:space="0" w:color="auto"/>
                                                                      </w:divBdr>
                                                                      <w:divsChild>
                                                                        <w:div w:id="812600012">
                                                                          <w:marLeft w:val="0"/>
                                                                          <w:marRight w:val="0"/>
                                                                          <w:marTop w:val="0"/>
                                                                          <w:marBottom w:val="0"/>
                                                                          <w:divBdr>
                                                                            <w:top w:val="none" w:sz="0" w:space="0" w:color="auto"/>
                                                                            <w:left w:val="none" w:sz="0" w:space="0" w:color="auto"/>
                                                                            <w:bottom w:val="none" w:sz="0" w:space="0" w:color="auto"/>
                                                                            <w:right w:val="none" w:sz="0" w:space="0" w:color="auto"/>
                                                                          </w:divBdr>
                                                                          <w:divsChild>
                                                                            <w:div w:id="14961446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771653">
      <w:bodyDiv w:val="1"/>
      <w:marLeft w:val="0"/>
      <w:marRight w:val="0"/>
      <w:marTop w:val="0"/>
      <w:marBottom w:val="0"/>
      <w:divBdr>
        <w:top w:val="none" w:sz="0" w:space="0" w:color="auto"/>
        <w:left w:val="none" w:sz="0" w:space="0" w:color="auto"/>
        <w:bottom w:val="none" w:sz="0" w:space="0" w:color="auto"/>
        <w:right w:val="none" w:sz="0" w:space="0" w:color="auto"/>
      </w:divBdr>
      <w:divsChild>
        <w:div w:id="2071148833">
          <w:marLeft w:val="0"/>
          <w:marRight w:val="0"/>
          <w:marTop w:val="0"/>
          <w:marBottom w:val="0"/>
          <w:divBdr>
            <w:top w:val="none" w:sz="0" w:space="0" w:color="auto"/>
            <w:left w:val="none" w:sz="0" w:space="0" w:color="auto"/>
            <w:bottom w:val="none" w:sz="0" w:space="0" w:color="auto"/>
            <w:right w:val="none" w:sz="0" w:space="0" w:color="auto"/>
          </w:divBdr>
        </w:div>
        <w:div w:id="1360199735">
          <w:marLeft w:val="0"/>
          <w:marRight w:val="0"/>
          <w:marTop w:val="0"/>
          <w:marBottom w:val="0"/>
          <w:divBdr>
            <w:top w:val="none" w:sz="0" w:space="0" w:color="auto"/>
            <w:left w:val="none" w:sz="0" w:space="0" w:color="auto"/>
            <w:bottom w:val="none" w:sz="0" w:space="0" w:color="auto"/>
            <w:right w:val="none" w:sz="0" w:space="0" w:color="auto"/>
          </w:divBdr>
        </w:div>
        <w:div w:id="1075662629">
          <w:marLeft w:val="0"/>
          <w:marRight w:val="0"/>
          <w:marTop w:val="0"/>
          <w:marBottom w:val="0"/>
          <w:divBdr>
            <w:top w:val="none" w:sz="0" w:space="0" w:color="auto"/>
            <w:left w:val="none" w:sz="0" w:space="0" w:color="auto"/>
            <w:bottom w:val="none" w:sz="0" w:space="0" w:color="auto"/>
            <w:right w:val="none" w:sz="0" w:space="0" w:color="auto"/>
          </w:divBdr>
        </w:div>
        <w:div w:id="1338653952">
          <w:marLeft w:val="0"/>
          <w:marRight w:val="0"/>
          <w:marTop w:val="0"/>
          <w:marBottom w:val="0"/>
          <w:divBdr>
            <w:top w:val="none" w:sz="0" w:space="0" w:color="auto"/>
            <w:left w:val="none" w:sz="0" w:space="0" w:color="auto"/>
            <w:bottom w:val="none" w:sz="0" w:space="0" w:color="auto"/>
            <w:right w:val="none" w:sz="0" w:space="0" w:color="auto"/>
          </w:divBdr>
        </w:div>
      </w:divsChild>
    </w:div>
    <w:div w:id="1245338009">
      <w:bodyDiv w:val="1"/>
      <w:marLeft w:val="0"/>
      <w:marRight w:val="0"/>
      <w:marTop w:val="0"/>
      <w:marBottom w:val="0"/>
      <w:divBdr>
        <w:top w:val="none" w:sz="0" w:space="0" w:color="auto"/>
        <w:left w:val="none" w:sz="0" w:space="0" w:color="auto"/>
        <w:bottom w:val="none" w:sz="0" w:space="0" w:color="auto"/>
        <w:right w:val="none" w:sz="0" w:space="0" w:color="auto"/>
      </w:divBdr>
    </w:div>
    <w:div w:id="1276862193">
      <w:bodyDiv w:val="1"/>
      <w:marLeft w:val="0"/>
      <w:marRight w:val="0"/>
      <w:marTop w:val="0"/>
      <w:marBottom w:val="0"/>
      <w:divBdr>
        <w:top w:val="none" w:sz="0" w:space="0" w:color="auto"/>
        <w:left w:val="none" w:sz="0" w:space="0" w:color="auto"/>
        <w:bottom w:val="none" w:sz="0" w:space="0" w:color="auto"/>
        <w:right w:val="none" w:sz="0" w:space="0" w:color="auto"/>
      </w:divBdr>
    </w:div>
    <w:div w:id="1392848773">
      <w:bodyDiv w:val="1"/>
      <w:marLeft w:val="0"/>
      <w:marRight w:val="0"/>
      <w:marTop w:val="0"/>
      <w:marBottom w:val="0"/>
      <w:divBdr>
        <w:top w:val="none" w:sz="0" w:space="0" w:color="auto"/>
        <w:left w:val="none" w:sz="0" w:space="0" w:color="auto"/>
        <w:bottom w:val="none" w:sz="0" w:space="0" w:color="auto"/>
        <w:right w:val="none" w:sz="0" w:space="0" w:color="auto"/>
      </w:divBdr>
    </w:div>
    <w:div w:id="1401513239">
      <w:bodyDiv w:val="1"/>
      <w:marLeft w:val="0"/>
      <w:marRight w:val="0"/>
      <w:marTop w:val="0"/>
      <w:marBottom w:val="0"/>
      <w:divBdr>
        <w:top w:val="none" w:sz="0" w:space="0" w:color="auto"/>
        <w:left w:val="none" w:sz="0" w:space="0" w:color="auto"/>
        <w:bottom w:val="none" w:sz="0" w:space="0" w:color="auto"/>
        <w:right w:val="none" w:sz="0" w:space="0" w:color="auto"/>
      </w:divBdr>
      <w:divsChild>
        <w:div w:id="940721559">
          <w:marLeft w:val="634"/>
          <w:marRight w:val="0"/>
          <w:marTop w:val="77"/>
          <w:marBottom w:val="0"/>
          <w:divBdr>
            <w:top w:val="none" w:sz="0" w:space="0" w:color="auto"/>
            <w:left w:val="none" w:sz="0" w:space="0" w:color="auto"/>
            <w:bottom w:val="none" w:sz="0" w:space="0" w:color="auto"/>
            <w:right w:val="none" w:sz="0" w:space="0" w:color="auto"/>
          </w:divBdr>
        </w:div>
      </w:divsChild>
    </w:div>
    <w:div w:id="1514607654">
      <w:bodyDiv w:val="1"/>
      <w:marLeft w:val="0"/>
      <w:marRight w:val="0"/>
      <w:marTop w:val="0"/>
      <w:marBottom w:val="0"/>
      <w:divBdr>
        <w:top w:val="none" w:sz="0" w:space="0" w:color="auto"/>
        <w:left w:val="none" w:sz="0" w:space="0" w:color="auto"/>
        <w:bottom w:val="none" w:sz="0" w:space="0" w:color="auto"/>
        <w:right w:val="none" w:sz="0" w:space="0" w:color="auto"/>
      </w:divBdr>
    </w:div>
    <w:div w:id="1602450147">
      <w:bodyDiv w:val="1"/>
      <w:marLeft w:val="0"/>
      <w:marRight w:val="0"/>
      <w:marTop w:val="0"/>
      <w:marBottom w:val="0"/>
      <w:divBdr>
        <w:top w:val="none" w:sz="0" w:space="0" w:color="auto"/>
        <w:left w:val="none" w:sz="0" w:space="0" w:color="auto"/>
        <w:bottom w:val="none" w:sz="0" w:space="0" w:color="auto"/>
        <w:right w:val="none" w:sz="0" w:space="0" w:color="auto"/>
      </w:divBdr>
      <w:divsChild>
        <w:div w:id="1296332023">
          <w:marLeft w:val="0"/>
          <w:marRight w:val="0"/>
          <w:marTop w:val="0"/>
          <w:marBottom w:val="0"/>
          <w:divBdr>
            <w:top w:val="none" w:sz="0" w:space="0" w:color="auto"/>
            <w:left w:val="none" w:sz="0" w:space="0" w:color="auto"/>
            <w:bottom w:val="none" w:sz="0" w:space="0" w:color="auto"/>
            <w:right w:val="none" w:sz="0" w:space="0" w:color="auto"/>
          </w:divBdr>
          <w:divsChild>
            <w:div w:id="1714111074">
              <w:marLeft w:val="0"/>
              <w:marRight w:val="0"/>
              <w:marTop w:val="0"/>
              <w:marBottom w:val="0"/>
              <w:divBdr>
                <w:top w:val="none" w:sz="0" w:space="0" w:color="auto"/>
                <w:left w:val="none" w:sz="0" w:space="0" w:color="auto"/>
                <w:bottom w:val="none" w:sz="0" w:space="0" w:color="auto"/>
                <w:right w:val="none" w:sz="0" w:space="0" w:color="auto"/>
              </w:divBdr>
              <w:divsChild>
                <w:div w:id="1634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5022">
      <w:bodyDiv w:val="1"/>
      <w:marLeft w:val="0"/>
      <w:marRight w:val="0"/>
      <w:marTop w:val="0"/>
      <w:marBottom w:val="0"/>
      <w:divBdr>
        <w:top w:val="none" w:sz="0" w:space="0" w:color="auto"/>
        <w:left w:val="none" w:sz="0" w:space="0" w:color="auto"/>
        <w:bottom w:val="none" w:sz="0" w:space="0" w:color="auto"/>
        <w:right w:val="none" w:sz="0" w:space="0" w:color="auto"/>
      </w:divBdr>
      <w:divsChild>
        <w:div w:id="1262226695">
          <w:marLeft w:val="547"/>
          <w:marRight w:val="0"/>
          <w:marTop w:val="115"/>
          <w:marBottom w:val="0"/>
          <w:divBdr>
            <w:top w:val="none" w:sz="0" w:space="0" w:color="auto"/>
            <w:left w:val="none" w:sz="0" w:space="0" w:color="auto"/>
            <w:bottom w:val="none" w:sz="0" w:space="0" w:color="auto"/>
            <w:right w:val="none" w:sz="0" w:space="0" w:color="auto"/>
          </w:divBdr>
        </w:div>
      </w:divsChild>
    </w:div>
    <w:div w:id="1894384791">
      <w:bodyDiv w:val="1"/>
      <w:marLeft w:val="0"/>
      <w:marRight w:val="0"/>
      <w:marTop w:val="0"/>
      <w:marBottom w:val="0"/>
      <w:divBdr>
        <w:top w:val="none" w:sz="0" w:space="0" w:color="auto"/>
        <w:left w:val="none" w:sz="0" w:space="0" w:color="auto"/>
        <w:bottom w:val="none" w:sz="0" w:space="0" w:color="auto"/>
        <w:right w:val="none" w:sz="0" w:space="0" w:color="auto"/>
      </w:divBdr>
    </w:div>
    <w:div w:id="1952660888">
      <w:bodyDiv w:val="1"/>
      <w:marLeft w:val="0"/>
      <w:marRight w:val="0"/>
      <w:marTop w:val="0"/>
      <w:marBottom w:val="0"/>
      <w:divBdr>
        <w:top w:val="none" w:sz="0" w:space="0" w:color="auto"/>
        <w:left w:val="none" w:sz="0" w:space="0" w:color="auto"/>
        <w:bottom w:val="none" w:sz="0" w:space="0" w:color="auto"/>
        <w:right w:val="none" w:sz="0" w:space="0" w:color="auto"/>
      </w:divBdr>
    </w:div>
    <w:div w:id="2014917222">
      <w:bodyDiv w:val="1"/>
      <w:marLeft w:val="0"/>
      <w:marRight w:val="0"/>
      <w:marTop w:val="0"/>
      <w:marBottom w:val="0"/>
      <w:divBdr>
        <w:top w:val="none" w:sz="0" w:space="0" w:color="auto"/>
        <w:left w:val="none" w:sz="0" w:space="0" w:color="auto"/>
        <w:bottom w:val="none" w:sz="0" w:space="0" w:color="auto"/>
        <w:right w:val="none" w:sz="0" w:space="0" w:color="auto"/>
      </w:divBdr>
    </w:div>
    <w:div w:id="21053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dodd-reynolds@durham.ac.uk" TargetMode="External"/><Relationship Id="rId13" Type="http://schemas.openxmlformats.org/officeDocument/2006/relationships/hyperlink" Target="https://northumberland.gov.uk/NorthumberlandCountyCouncil/media/About-the-Council/Performance/Service%20Statements%202016/2017-Public-Health-Service-Statement-2017-18.pdf" TargetMode="External"/><Relationship Id="rId18" Type="http://schemas.openxmlformats.org/officeDocument/2006/relationships/hyperlink" Target="https://foresightprojects.blog.gov.uk/2017/10/04/dusting-off-foresights-obesity-repor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work-worklessness-and-health-local-infographic-tool" TargetMode="External"/><Relationship Id="rId17" Type="http://schemas.openxmlformats.org/officeDocument/2006/relationships/hyperlink" Target="http://apps.who.int/bmi/index.jsp?introPage=intro_3.html" TargetMode="External"/><Relationship Id="rId2" Type="http://schemas.openxmlformats.org/officeDocument/2006/relationships/numbering" Target="numbering.xml"/><Relationship Id="rId16" Type="http://schemas.openxmlformats.org/officeDocument/2006/relationships/hyperlink" Target="http://etheses.dur.ac.uk/121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economy/grossvalueaddedgva/datasets/regionalgrossvalueaddedbalancedbycombinedauthorityintheuk" TargetMode="External"/><Relationship Id="rId5" Type="http://schemas.openxmlformats.org/officeDocument/2006/relationships/webSettings" Target="webSettings.xml"/><Relationship Id="rId15" Type="http://schemas.openxmlformats.org/officeDocument/2006/relationships/hyperlink" Target="http://discovermomenta.com/" TargetMode="External"/><Relationship Id="rId23" Type="http://schemas.openxmlformats.org/officeDocument/2006/relationships/theme" Target="theme/theme1.xml"/><Relationship Id="rId10" Type="http://schemas.openxmlformats.org/officeDocument/2006/relationships/hyperlink" Target="https://apps.who.int/iris/bitstream/handle/10665/148114/9789241564854_eng.pdf;jsessionid=A043D0E63AACA67752CC3294A1EBD7A3?sequence=1"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uk/government/publications/health-matters-obesity-and-the-food-environment/health-matters-obesity-and-the-food-environment--2" TargetMode="External"/><Relationship Id="rId14" Type="http://schemas.openxmlformats.org/officeDocument/2006/relationships/hyperlink" Target="https://fingertips.phe.org.uk/profile/health-profiles/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03F0-73A7-4B3F-8744-02922C48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47</Pages>
  <Words>9930</Words>
  <Characters>56606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66404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DODD-REYNOLDS, CAROLINE J.</dc:creator>
  <cp:lastModifiedBy>Hanson, Coral</cp:lastModifiedBy>
  <cp:revision>3</cp:revision>
  <cp:lastPrinted>2018-08-10T14:15:00Z</cp:lastPrinted>
  <dcterms:created xsi:type="dcterms:W3CDTF">2019-09-26T14:25:00Z</dcterms:created>
  <dcterms:modified xsi:type="dcterms:W3CDTF">2019-09-26T14:50:00Z</dcterms:modified>
</cp:coreProperties>
</file>