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DCCF1" w14:textId="77777777" w:rsidR="003D0E85" w:rsidRDefault="002B7C3D" w:rsidP="003D2C33">
      <w:pPr>
        <w:pStyle w:val="Heading1"/>
        <w:jc w:val="both"/>
      </w:pPr>
      <w:bookmarkStart w:id="0" w:name="_GoBack"/>
      <w:bookmarkEnd w:id="0"/>
      <w:r>
        <w:t>Long Term Productivity Gains in the Privatised British Passenger Rail Industry – a case study of Malmquist productivity index measurement</w:t>
      </w:r>
      <w:r w:rsidR="00917215">
        <w:t>s</w:t>
      </w:r>
      <w:r>
        <w:t>.</w:t>
      </w:r>
    </w:p>
    <w:p w14:paraId="58FBECA7" w14:textId="77777777" w:rsidR="00E333BD" w:rsidRDefault="00E333BD" w:rsidP="003D2C33">
      <w:pPr>
        <w:jc w:val="both"/>
      </w:pPr>
    </w:p>
    <w:p w14:paraId="4FF0F318" w14:textId="77777777" w:rsidR="0013587C" w:rsidRPr="00E333BD" w:rsidRDefault="0013587C" w:rsidP="003D2C33">
      <w:pPr>
        <w:jc w:val="both"/>
      </w:pPr>
    </w:p>
    <w:p w14:paraId="53B297DC" w14:textId="6E09183B" w:rsidR="00804147" w:rsidRPr="00E333BD" w:rsidRDefault="003448F9" w:rsidP="003448F9">
      <w:pPr>
        <w:pStyle w:val="Heading2"/>
      </w:pPr>
      <w:r>
        <w:t xml:space="preserve">1. </w:t>
      </w:r>
      <w:r w:rsidR="00804147" w:rsidRPr="00E333BD">
        <w:t>Introduction</w:t>
      </w:r>
    </w:p>
    <w:p w14:paraId="048DC3BA" w14:textId="03837613" w:rsidR="009926A8" w:rsidRDefault="009926A8" w:rsidP="003D2C33">
      <w:pPr>
        <w:jc w:val="both"/>
      </w:pPr>
      <w:r>
        <w:t>This paper assesses long term productivity in the privatised British passenger rail industry using a Malmquist productivity index</w:t>
      </w:r>
      <w:r w:rsidR="00E75C0D">
        <w:t xml:space="preserve"> </w:t>
      </w:r>
      <w:r w:rsidR="007425D2">
        <w:t>(</w:t>
      </w:r>
      <w:r w:rsidR="00E75C0D">
        <w:t>MPI)</w:t>
      </w:r>
      <w:r>
        <w:t xml:space="preserve">.  By assessing productivity </w:t>
      </w:r>
      <w:r w:rsidR="00907E23">
        <w:t>with</w:t>
      </w:r>
      <w:r w:rsidR="007425D2">
        <w:t xml:space="preserve"> this approach</w:t>
      </w:r>
      <w:r>
        <w:t>, this allow</w:t>
      </w:r>
      <w:r w:rsidR="003D2C33">
        <w:t>s</w:t>
      </w:r>
      <w:r>
        <w:t xml:space="preserve"> the division of productivity gains into efficiency change (EC) and technical change (TC)</w:t>
      </w:r>
      <w:r w:rsidR="00001310">
        <w:t xml:space="preserve">.  </w:t>
      </w:r>
      <w:r w:rsidR="00B10211">
        <w:t xml:space="preserve">Consequently, </w:t>
      </w:r>
      <w:r w:rsidR="00001310">
        <w:t xml:space="preserve">this </w:t>
      </w:r>
      <w:r w:rsidR="00E75C0D">
        <w:t>enable</w:t>
      </w:r>
      <w:r w:rsidR="008E5531">
        <w:t>s</w:t>
      </w:r>
      <w:r>
        <w:t xml:space="preserve"> </w:t>
      </w:r>
      <w:r w:rsidR="00001310">
        <w:t>an</w:t>
      </w:r>
      <w:r>
        <w:t xml:space="preserve"> evaluation </w:t>
      </w:r>
      <w:r w:rsidR="00001310">
        <w:t xml:space="preserve">to be made </w:t>
      </w:r>
      <w:r>
        <w:t xml:space="preserve">of the effectiveness </w:t>
      </w:r>
      <w:r w:rsidR="00E8047D">
        <w:t xml:space="preserve">of the regulatory framework in incentivising the privatised industry towards </w:t>
      </w:r>
      <w:r w:rsidR="00D574C2">
        <w:t>productivity</w:t>
      </w:r>
      <w:r w:rsidR="00E8047D">
        <w:t xml:space="preserve"> improvements, with effi</w:t>
      </w:r>
      <w:r w:rsidR="00001310">
        <w:t xml:space="preserve">ciency improvement indicating </w:t>
      </w:r>
      <w:r w:rsidR="00E8047D">
        <w:t xml:space="preserve">eradication of (known) inefficiencies and </w:t>
      </w:r>
      <w:r w:rsidR="008F6A1E">
        <w:t>progressive</w:t>
      </w:r>
      <w:r w:rsidR="00E8047D">
        <w:t xml:space="preserve"> technical change </w:t>
      </w:r>
      <w:r w:rsidR="008F6A1E">
        <w:t>development</w:t>
      </w:r>
      <w:r w:rsidR="00001310">
        <w:t xml:space="preserve"> of </w:t>
      </w:r>
      <w:r w:rsidR="00E8047D">
        <w:t xml:space="preserve">the industry </w:t>
      </w:r>
      <w:r w:rsidR="00001310">
        <w:t>through</w:t>
      </w:r>
      <w:r w:rsidR="0026078A">
        <w:t xml:space="preserve"> ‘real’ advances in productivity</w:t>
      </w:r>
      <w:r w:rsidR="00E8047D">
        <w:t xml:space="preserve">.  </w:t>
      </w:r>
      <w:r>
        <w:t>The subject also presents an opportunity to</w:t>
      </w:r>
      <w:r w:rsidR="006B641F">
        <w:t xml:space="preserve"> use and</w:t>
      </w:r>
      <w:r>
        <w:t xml:space="preserve"> compare different </w:t>
      </w:r>
      <w:r w:rsidR="008F6A1E">
        <w:t xml:space="preserve">underlying </w:t>
      </w:r>
      <w:r>
        <w:t>estimation methods of the M</w:t>
      </w:r>
      <w:r w:rsidR="00E333BD">
        <w:t>almquist index</w:t>
      </w:r>
      <w:r w:rsidR="008E5034">
        <w:t xml:space="preserve">, </w:t>
      </w:r>
      <w:r w:rsidR="00001310">
        <w:t>as this</w:t>
      </w:r>
      <w:r w:rsidR="008E5034">
        <w:t xml:space="preserve"> is </w:t>
      </w:r>
      <w:r>
        <w:t xml:space="preserve">normally </w:t>
      </w:r>
      <w:r w:rsidR="007B49D9">
        <w:t xml:space="preserve">solely </w:t>
      </w:r>
      <w:r w:rsidR="0026078A">
        <w:t>derived from efficiencies estimated through D</w:t>
      </w:r>
      <w:r>
        <w:t xml:space="preserve">ata </w:t>
      </w:r>
      <w:r w:rsidR="0026078A">
        <w:t>E</w:t>
      </w:r>
      <w:r>
        <w:t xml:space="preserve">nvelopment </w:t>
      </w:r>
      <w:r w:rsidR="0026078A">
        <w:t>A</w:t>
      </w:r>
      <w:r>
        <w:t>nalysis</w:t>
      </w:r>
      <w:r w:rsidR="0026078A">
        <w:t xml:space="preserve"> (DEA)</w:t>
      </w:r>
      <w:r w:rsidR="008E5034">
        <w:t xml:space="preserve">.  </w:t>
      </w:r>
      <w:r w:rsidR="007B49D9">
        <w:t>A</w:t>
      </w:r>
      <w:r w:rsidR="008E5034">
        <w:t xml:space="preserve"> mass of literature</w:t>
      </w:r>
      <w:r w:rsidR="007B49D9">
        <w:t xml:space="preserve"> exists</w:t>
      </w:r>
      <w:r w:rsidR="008E5034">
        <w:t>, particular</w:t>
      </w:r>
      <w:r w:rsidR="003D2C33">
        <w:t>ly</w:t>
      </w:r>
      <w:r w:rsidR="008E5034">
        <w:t xml:space="preserve"> </w:t>
      </w:r>
      <w:r w:rsidR="009F346C">
        <w:t>in the</w:t>
      </w:r>
      <w:r w:rsidR="008E5034">
        <w:t xml:space="preserve"> air and sea port subject</w:t>
      </w:r>
      <w:r w:rsidR="00E8047D">
        <w:t xml:space="preserve"> area</w:t>
      </w:r>
      <w:r w:rsidR="008E5034">
        <w:t xml:space="preserve">s, which have </w:t>
      </w:r>
      <w:r w:rsidR="003D2C33">
        <w:t>used this approach</w:t>
      </w:r>
      <w:r w:rsidR="008E5034">
        <w:t xml:space="preserve">.  The </w:t>
      </w:r>
      <w:r w:rsidR="00001310">
        <w:t>econometric</w:t>
      </w:r>
      <w:r w:rsidR="008E5034">
        <w:t xml:space="preserve"> </w:t>
      </w:r>
      <w:r w:rsidR="0026078A">
        <w:t>Corrected Ordinary Least Squares (</w:t>
      </w:r>
      <w:r w:rsidR="008E5034">
        <w:t>COLS</w:t>
      </w:r>
      <w:r w:rsidR="0026078A">
        <w:t>)</w:t>
      </w:r>
      <w:r w:rsidR="008E5034">
        <w:t xml:space="preserve"> and Stochastic </w:t>
      </w:r>
      <w:r w:rsidR="000D4AAF">
        <w:t xml:space="preserve">Frontier Analysis (SFA) </w:t>
      </w:r>
      <w:r w:rsidR="008E5034">
        <w:t xml:space="preserve">methods however are </w:t>
      </w:r>
      <w:r>
        <w:t>little used in this context</w:t>
      </w:r>
      <w:r w:rsidR="00E75C0D">
        <w:t>, for reasons that are unclear</w:t>
      </w:r>
      <w:r w:rsidR="008E5034">
        <w:t>.</w:t>
      </w:r>
    </w:p>
    <w:p w14:paraId="0409A25A" w14:textId="039F325D" w:rsidR="00F3508E" w:rsidRDefault="00F3508E" w:rsidP="00F3508E">
      <w:pPr>
        <w:jc w:val="both"/>
      </w:pPr>
      <w:r>
        <w:t xml:space="preserve">The paper begins with an overview of the Railways Act 1993 and an outline of the privatised British passenger rail structure that it created, before the main research undertaken to date </w:t>
      </w:r>
      <w:r w:rsidR="000D4AAF">
        <w:t>o</w:t>
      </w:r>
      <w:r w:rsidR="00001310">
        <w:t>n the subject area is</w:t>
      </w:r>
      <w:r>
        <w:t xml:space="preserve"> considered.  The estimation approaches to be used are outlined, before results </w:t>
      </w:r>
      <w:r w:rsidR="005936C9">
        <w:t xml:space="preserve">are </w:t>
      </w:r>
      <w:r>
        <w:t>presented</w:t>
      </w:r>
      <w:r w:rsidR="00001310">
        <w:t xml:space="preserve"> </w:t>
      </w:r>
      <w:r w:rsidR="008F6A1E">
        <w:t xml:space="preserve">and </w:t>
      </w:r>
      <w:r w:rsidR="00001310">
        <w:t xml:space="preserve">some of the issues arising out of the </w:t>
      </w:r>
      <w:r w:rsidR="008F6A1E">
        <w:t>findings</w:t>
      </w:r>
      <w:r w:rsidR="00001310">
        <w:t xml:space="preserve"> considered </w:t>
      </w:r>
      <w:r w:rsidR="008F6A1E">
        <w:t xml:space="preserve">before </w:t>
      </w:r>
      <w:r w:rsidR="00001310">
        <w:t>conc</w:t>
      </w:r>
      <w:r>
        <w:t xml:space="preserve">lusions </w:t>
      </w:r>
      <w:r w:rsidR="008F6A1E">
        <w:t xml:space="preserve">are </w:t>
      </w:r>
      <w:r>
        <w:t>made.</w:t>
      </w:r>
    </w:p>
    <w:p w14:paraId="5E3E1D28" w14:textId="2350A823" w:rsidR="00E75C0D" w:rsidRDefault="003448F9" w:rsidP="003D2C33">
      <w:pPr>
        <w:pStyle w:val="Heading2"/>
        <w:jc w:val="both"/>
      </w:pPr>
      <w:r>
        <w:t xml:space="preserve">2. </w:t>
      </w:r>
      <w:r w:rsidR="00E75C0D">
        <w:t>British Rail, the Railways Act 1993 and What Followed</w:t>
      </w:r>
    </w:p>
    <w:p w14:paraId="3B1740D7" w14:textId="0D5BD5A8" w:rsidR="00EA5676" w:rsidRDefault="00E75C0D" w:rsidP="003D2C33">
      <w:pPr>
        <w:jc w:val="both"/>
      </w:pPr>
      <w:r>
        <w:t xml:space="preserve">The railways </w:t>
      </w:r>
      <w:r w:rsidR="008F6A1E">
        <w:t xml:space="preserve">in Great Britain </w:t>
      </w:r>
      <w:r>
        <w:t xml:space="preserve">were privatised by the Railways Act 1993 which ended </w:t>
      </w:r>
      <w:r w:rsidR="00001310">
        <w:t>almost</w:t>
      </w:r>
      <w:r>
        <w:t xml:space="preserve"> fifty years of </w:t>
      </w:r>
      <w:r w:rsidR="005F33EA">
        <w:t xml:space="preserve">public </w:t>
      </w:r>
      <w:r>
        <w:t xml:space="preserve">ownership and by </w:t>
      </w:r>
      <w:r w:rsidR="005F33EA">
        <w:t xml:space="preserve">and </w:t>
      </w:r>
      <w:r>
        <w:t xml:space="preserve">large created the </w:t>
      </w:r>
      <w:r w:rsidR="000D4AAF">
        <w:t xml:space="preserve">basic </w:t>
      </w:r>
      <w:r>
        <w:t xml:space="preserve">structure which is still in place today.  Focusing on the passenger industry, services were divided initially into 25 train operating companies (area and/or line based and </w:t>
      </w:r>
      <w:r w:rsidR="00E8047D">
        <w:t xml:space="preserve">all </w:t>
      </w:r>
      <w:r>
        <w:t xml:space="preserve">former profit centres in British Rail), which private sector companies would bid to operate for a period of 7 years in most cases, but </w:t>
      </w:r>
      <w:r w:rsidR="00E85B02">
        <w:t xml:space="preserve">there were </w:t>
      </w:r>
      <w:r>
        <w:t xml:space="preserve">also some longer franchises of 10 and </w:t>
      </w:r>
      <w:r w:rsidR="00E8047D">
        <w:t>1</w:t>
      </w:r>
      <w:r>
        <w:t xml:space="preserve">5 years.  </w:t>
      </w:r>
      <w:r w:rsidR="005F33EA">
        <w:t>C</w:t>
      </w:r>
      <w:r>
        <w:t xml:space="preserve">ompanies would lease rolling stock </w:t>
      </w:r>
      <w:r w:rsidR="0026078A">
        <w:t xml:space="preserve">from one of three (now four) privately owned rolling stock leasing companies </w:t>
      </w:r>
      <w:r>
        <w:t>and purchase track access from the similarly privat</w:t>
      </w:r>
      <w:r w:rsidR="008E5531">
        <w:t>ely owned</w:t>
      </w:r>
      <w:r>
        <w:t xml:space="preserve"> Railtrack.  Subsequent events led to the administration of Railtrack and its responsibilities taken over by the government owned </w:t>
      </w:r>
      <w:r w:rsidR="00E333BD">
        <w:t xml:space="preserve">but </w:t>
      </w:r>
      <w:r>
        <w:t>not for dividend Network Rail.  Important in this context, franchise</w:t>
      </w:r>
      <w:r w:rsidR="00E333BD">
        <w:t xml:space="preserve">s are normally awarded on the </w:t>
      </w:r>
      <w:r>
        <w:t>basis of services run, investments to be made</w:t>
      </w:r>
      <w:r w:rsidR="008F6A1E">
        <w:t xml:space="preserve">, general plans for development of the franchise </w:t>
      </w:r>
      <w:r>
        <w:t xml:space="preserve">and </w:t>
      </w:r>
      <w:r w:rsidR="00E333BD">
        <w:t>some form of financial incentive to improve ‘performance’</w:t>
      </w:r>
      <w:r w:rsidR="008F6A1E">
        <w:t xml:space="preserve">.  This </w:t>
      </w:r>
      <w:r w:rsidR="00E333BD">
        <w:t xml:space="preserve">is </w:t>
      </w:r>
      <w:r>
        <w:t xml:space="preserve">either </w:t>
      </w:r>
      <w:r w:rsidR="00E333BD">
        <w:t xml:space="preserve">by </w:t>
      </w:r>
      <w:r>
        <w:t>reducing subsidies or increasing premium payments over the lifetime of the franchise.  Rail fares are largely regulated, with the current level at RPI-</w:t>
      </w:r>
      <w:r w:rsidR="005F33EA">
        <w:t>0</w:t>
      </w:r>
      <w:r>
        <w:t>%.</w:t>
      </w:r>
      <w:r>
        <w:rPr>
          <w:rStyle w:val="FootnoteReference"/>
        </w:rPr>
        <w:t xml:space="preserve"> </w:t>
      </w:r>
      <w:r>
        <w:t xml:space="preserve"> There does exist unregulated fares, but figures from the ORR </w:t>
      </w:r>
      <w:r w:rsidR="00E333BD">
        <w:t>(ORR, 201</w:t>
      </w:r>
      <w:r w:rsidR="00364902">
        <w:t>6</w:t>
      </w:r>
      <w:r w:rsidR="00E333BD">
        <w:t xml:space="preserve">) </w:t>
      </w:r>
      <w:r>
        <w:t xml:space="preserve">show that after achieving </w:t>
      </w:r>
      <w:r w:rsidR="003D2C33">
        <w:t>a</w:t>
      </w:r>
      <w:r>
        <w:t xml:space="preserve"> market differential, changes in these fares </w:t>
      </w:r>
      <w:r w:rsidR="00E8047D">
        <w:t>have</w:t>
      </w:r>
      <w:r>
        <w:t xml:space="preserve"> largely shadowed the regulated fare.</w:t>
      </w:r>
      <w:r w:rsidR="00C36071">
        <w:t xml:space="preserve">  This last aspect is important in this context, as it is through the necessity to maintain profitability in light of reducing payments from</w:t>
      </w:r>
      <w:r w:rsidR="003D2C33">
        <w:t>,</w:t>
      </w:r>
      <w:r w:rsidR="00C36071">
        <w:t xml:space="preserve"> or increasing </w:t>
      </w:r>
      <w:r w:rsidR="00C36071">
        <w:lastRenderedPageBreak/>
        <w:t>payments to</w:t>
      </w:r>
      <w:r w:rsidR="003D2C33">
        <w:t>,</w:t>
      </w:r>
      <w:r w:rsidR="00C36071">
        <w:t xml:space="preserve"> the state that require the TOC to either increase passen</w:t>
      </w:r>
      <w:r w:rsidR="00364902">
        <w:t xml:space="preserve">ger volumes and/or </w:t>
      </w:r>
      <w:r w:rsidR="00001310">
        <w:t xml:space="preserve">increase productivity and hence </w:t>
      </w:r>
      <w:r w:rsidR="00364902">
        <w:t xml:space="preserve">reduce </w:t>
      </w:r>
      <w:r w:rsidR="00001310">
        <w:t xml:space="preserve">unit </w:t>
      </w:r>
      <w:r w:rsidR="00364902">
        <w:t>costs</w:t>
      </w:r>
      <w:r w:rsidR="00C36071">
        <w:t xml:space="preserve">. </w:t>
      </w:r>
      <w:r>
        <w:t xml:space="preserve">  </w:t>
      </w:r>
    </w:p>
    <w:p w14:paraId="061F3AB8" w14:textId="684F03EE" w:rsidR="0084120D" w:rsidRDefault="003448F9" w:rsidP="003D2C33">
      <w:pPr>
        <w:pStyle w:val="Heading2"/>
        <w:jc w:val="both"/>
      </w:pPr>
      <w:r>
        <w:t xml:space="preserve">3. </w:t>
      </w:r>
      <w:r w:rsidR="0084120D">
        <w:t>Literature review</w:t>
      </w:r>
    </w:p>
    <w:p w14:paraId="771C6AAD" w14:textId="6F8E1AE4" w:rsidR="00FB1A33" w:rsidRDefault="00B4446C" w:rsidP="003D2C33">
      <w:pPr>
        <w:jc w:val="both"/>
        <w:rPr>
          <w:lang w:val="en"/>
        </w:rPr>
      </w:pPr>
      <w:r>
        <w:t xml:space="preserve">The literature on rail productivity </w:t>
      </w:r>
      <w:r w:rsidR="00761C55">
        <w:t xml:space="preserve">in general </w:t>
      </w:r>
      <w:r>
        <w:t xml:space="preserve">is extensive, </w:t>
      </w:r>
      <w:r w:rsidR="003D2C33">
        <w:t>with</w:t>
      </w:r>
      <w:r>
        <w:t xml:space="preserve"> Smith (2006) </w:t>
      </w:r>
      <w:r w:rsidR="0026078A">
        <w:t>appropriately</w:t>
      </w:r>
      <w:r>
        <w:t xml:space="preserve"> d</w:t>
      </w:r>
      <w:r w:rsidR="0026078A">
        <w:t>i</w:t>
      </w:r>
      <w:r>
        <w:t>vid</w:t>
      </w:r>
      <w:r w:rsidR="003D2C33">
        <w:t>ing</w:t>
      </w:r>
      <w:r>
        <w:t xml:space="preserve"> this into ‘British only’ and ‘International’ studies</w:t>
      </w:r>
      <w:r w:rsidR="00761C55">
        <w:t xml:space="preserve">.  In the current context, </w:t>
      </w:r>
      <w:r>
        <w:t xml:space="preserve">only </w:t>
      </w:r>
      <w:r w:rsidR="0026078A">
        <w:t xml:space="preserve">the former </w:t>
      </w:r>
      <w:r w:rsidR="003D2C33">
        <w:t xml:space="preserve">group </w:t>
      </w:r>
      <w:r w:rsidR="0026078A">
        <w:t xml:space="preserve">will be </w:t>
      </w:r>
      <w:r>
        <w:t>consider</w:t>
      </w:r>
      <w:r w:rsidR="0026078A">
        <w:t>ed</w:t>
      </w:r>
      <w:r>
        <w:t xml:space="preserve">.  </w:t>
      </w:r>
      <w:r w:rsidR="00761C55">
        <w:t>T</w:t>
      </w:r>
      <w:r>
        <w:t xml:space="preserve">hese </w:t>
      </w:r>
      <w:r w:rsidR="00001310">
        <w:t xml:space="preserve">have </w:t>
      </w:r>
      <w:r>
        <w:t>focus</w:t>
      </w:r>
      <w:r w:rsidR="00001310">
        <w:t>ed</w:t>
      </w:r>
      <w:r>
        <w:t xml:space="preserve"> on </w:t>
      </w:r>
      <w:r w:rsidR="00100B4A">
        <w:t xml:space="preserve">the privatised </w:t>
      </w:r>
      <w:r w:rsidR="00E36824">
        <w:t xml:space="preserve">passenger </w:t>
      </w:r>
      <w:r w:rsidR="00330033">
        <w:t xml:space="preserve">rail industry </w:t>
      </w:r>
      <w:r>
        <w:t xml:space="preserve">and </w:t>
      </w:r>
      <w:r w:rsidR="00330033">
        <w:t xml:space="preserve">fall between those on productivity and those on costs.  </w:t>
      </w:r>
      <w:r w:rsidR="00E12CE1">
        <w:t xml:space="preserve">Early studies were undertaken by Affuso et al (2002) and </w:t>
      </w:r>
      <w:r w:rsidR="00330033">
        <w:t>Cowie (2002)</w:t>
      </w:r>
      <w:r w:rsidR="00E12CE1">
        <w:t xml:space="preserve">.  </w:t>
      </w:r>
      <w:r w:rsidR="00761C55">
        <w:t xml:space="preserve">In the former case, the authors </w:t>
      </w:r>
      <w:r w:rsidR="00074ACD">
        <w:t>highlight</w:t>
      </w:r>
      <w:r w:rsidR="000D4AAF">
        <w:t>ed</w:t>
      </w:r>
      <w:r w:rsidR="00761C55">
        <w:t xml:space="preserve"> </w:t>
      </w:r>
      <w:r w:rsidR="00CF7A16">
        <w:t xml:space="preserve">that </w:t>
      </w:r>
      <w:r w:rsidR="00CF7A16" w:rsidRPr="00CF7A16">
        <w:t xml:space="preserve">privatisation and </w:t>
      </w:r>
      <w:r w:rsidR="00CF7A16">
        <w:t xml:space="preserve">restructuring of the industry </w:t>
      </w:r>
      <w:r w:rsidR="00746F81">
        <w:t xml:space="preserve">had </w:t>
      </w:r>
      <w:r w:rsidR="00CF7A16">
        <w:t xml:space="preserve">uncovered failures within the system, specifically a </w:t>
      </w:r>
      <w:r w:rsidR="00CF7A16" w:rsidRPr="00CF7A16">
        <w:t>backlog of network investment</w:t>
      </w:r>
      <w:r w:rsidR="00CF7A16">
        <w:t>, hence s</w:t>
      </w:r>
      <w:r w:rsidR="00FB1A33">
        <w:t>o</w:t>
      </w:r>
      <w:r w:rsidR="00CF7A16">
        <w:t xml:space="preserve">ught to examine if </w:t>
      </w:r>
      <w:r w:rsidR="00CF7A16" w:rsidRPr="00CF7A16">
        <w:t xml:space="preserve">productivity and efficiency </w:t>
      </w:r>
      <w:r w:rsidR="003D2C33">
        <w:t xml:space="preserve">in the privatised industry </w:t>
      </w:r>
      <w:r w:rsidR="00CF7A16">
        <w:t xml:space="preserve">had </w:t>
      </w:r>
      <w:r w:rsidR="003D2C33">
        <w:t xml:space="preserve">overcome these inherited deficiencies.  </w:t>
      </w:r>
      <w:r w:rsidR="00FB1A33">
        <w:t xml:space="preserve">They used two approaches, a straight DEA and </w:t>
      </w:r>
      <w:r w:rsidR="000566F8">
        <w:t>also</w:t>
      </w:r>
      <w:r w:rsidR="00BB719D">
        <w:t xml:space="preserve"> </w:t>
      </w:r>
      <w:r w:rsidR="00FB1A33">
        <w:t>a COLS distance frontier, and found efficiency improvements</w:t>
      </w:r>
      <w:r w:rsidR="003D2C33">
        <w:t xml:space="preserve"> over the </w:t>
      </w:r>
      <w:r w:rsidR="00172FFA">
        <w:t>period 1995 to 2000</w:t>
      </w:r>
      <w:r w:rsidR="003D2C33">
        <w:t xml:space="preserve"> </w:t>
      </w:r>
      <w:r w:rsidR="00FB1A33">
        <w:t xml:space="preserve">of 19.1% </w:t>
      </w:r>
      <w:r w:rsidR="00761C55">
        <w:t xml:space="preserve">in the case of </w:t>
      </w:r>
      <w:r w:rsidR="00FB1A33">
        <w:t xml:space="preserve">the DEA and 23.2% for COLS.  As the DEA was carried out </w:t>
      </w:r>
      <w:r w:rsidR="008E5531">
        <w:t xml:space="preserve">in a single estimation </w:t>
      </w:r>
      <w:r w:rsidR="00FB1A33">
        <w:t xml:space="preserve">on the full panel and the COLS function </w:t>
      </w:r>
      <w:r w:rsidR="00BB719D">
        <w:t xml:space="preserve">omitted </w:t>
      </w:r>
      <w:r w:rsidR="00FB1A33">
        <w:t xml:space="preserve">a time trend, these </w:t>
      </w:r>
      <w:r w:rsidR="00172FFA">
        <w:t xml:space="preserve">‘efficiency’ </w:t>
      </w:r>
      <w:r w:rsidR="00FB1A33">
        <w:t xml:space="preserve">improvements should be more accurately termed </w:t>
      </w:r>
      <w:r w:rsidR="00746F81">
        <w:t>total factor productivity (</w:t>
      </w:r>
      <w:r w:rsidR="00FB1A33">
        <w:t>TFP</w:t>
      </w:r>
      <w:r w:rsidR="00746F81">
        <w:t>)</w:t>
      </w:r>
      <w:r w:rsidR="00FB1A33">
        <w:t xml:space="preserve"> improvement.  </w:t>
      </w:r>
      <w:r w:rsidR="00E12CE1">
        <w:t>Cowie (2002)</w:t>
      </w:r>
      <w:r w:rsidR="0026078A">
        <w:t xml:space="preserve"> </w:t>
      </w:r>
      <w:r w:rsidR="00330033">
        <w:t xml:space="preserve">estimated a </w:t>
      </w:r>
      <w:r w:rsidR="00CF7A16">
        <w:t xml:space="preserve">simplistic </w:t>
      </w:r>
      <w:r w:rsidR="00330033">
        <w:t>T</w:t>
      </w:r>
      <w:r w:rsidR="00761C55">
        <w:t>ö</w:t>
      </w:r>
      <w:r w:rsidR="00330033">
        <w:t>rnq</w:t>
      </w:r>
      <w:r w:rsidR="00761C55">
        <w:t>v</w:t>
      </w:r>
      <w:r w:rsidR="00330033">
        <w:t xml:space="preserve">ist productivity index for the </w:t>
      </w:r>
      <w:r w:rsidR="00330033" w:rsidRPr="00330033">
        <w:t xml:space="preserve">first four years </w:t>
      </w:r>
      <w:r w:rsidR="00074ACD">
        <w:t>of</w:t>
      </w:r>
      <w:r w:rsidR="00330033" w:rsidRPr="00330033">
        <w:t xml:space="preserve"> the </w:t>
      </w:r>
      <w:r w:rsidR="00172FFA">
        <w:t xml:space="preserve">fully </w:t>
      </w:r>
      <w:r w:rsidR="00330033" w:rsidRPr="00330033">
        <w:t>privatised structure</w:t>
      </w:r>
      <w:r w:rsidR="00330033">
        <w:t xml:space="preserve">, with </w:t>
      </w:r>
      <w:r w:rsidR="00330033" w:rsidRPr="00330033">
        <w:t xml:space="preserve">passenger train kilometres specified as the output, and labour, traction rolling stock and infrastructure as the inputs. </w:t>
      </w:r>
      <w:r w:rsidR="00761C55">
        <w:t xml:space="preserve"> </w:t>
      </w:r>
      <w:r w:rsidR="00172FFA">
        <w:t>T</w:t>
      </w:r>
      <w:r w:rsidR="00330033" w:rsidRPr="00330033">
        <w:t xml:space="preserve">otal productivity </w:t>
      </w:r>
      <w:r w:rsidR="00172FFA">
        <w:t xml:space="preserve">was found to have </w:t>
      </w:r>
      <w:r w:rsidR="00330033" w:rsidRPr="00330033">
        <w:t>risen by</w:t>
      </w:r>
      <w:r>
        <w:t xml:space="preserve"> an impressive</w:t>
      </w:r>
      <w:r w:rsidR="00330033" w:rsidRPr="00330033">
        <w:t xml:space="preserve"> four per cent per annum over </w:t>
      </w:r>
      <w:r w:rsidR="00FB1A33">
        <w:t xml:space="preserve">the </w:t>
      </w:r>
      <w:r w:rsidR="00330033">
        <w:t xml:space="preserve">period analysed, but </w:t>
      </w:r>
      <w:r w:rsidR="00761C55">
        <w:t xml:space="preserve">even so </w:t>
      </w:r>
      <w:r w:rsidR="00330033">
        <w:t>such</w:t>
      </w:r>
      <w:r w:rsidR="00330033" w:rsidRPr="00330033">
        <w:t xml:space="preserve"> gains </w:t>
      </w:r>
      <w:r w:rsidR="00330033">
        <w:t xml:space="preserve">were </w:t>
      </w:r>
      <w:r w:rsidR="00172FFA">
        <w:t xml:space="preserve">found to be </w:t>
      </w:r>
      <w:r w:rsidR="00330033">
        <w:t xml:space="preserve">not </w:t>
      </w:r>
      <w:r w:rsidR="00330033" w:rsidRPr="00330033">
        <w:t xml:space="preserve">as high as those made in the later period of public sector management. </w:t>
      </w:r>
      <w:r w:rsidR="00330033">
        <w:t xml:space="preserve"> Polli</w:t>
      </w:r>
      <w:r w:rsidR="006233BB">
        <w:t>t</w:t>
      </w:r>
      <w:r w:rsidR="00330033">
        <w:t>t and Smith (2001)</w:t>
      </w:r>
      <w:r w:rsidR="0026078A">
        <w:t>,</w:t>
      </w:r>
      <w:r w:rsidR="00330033">
        <w:t xml:space="preserve"> in a cost-benefit review of rail privatisation to that date</w:t>
      </w:r>
      <w:r w:rsidR="0026078A">
        <w:t>,</w:t>
      </w:r>
      <w:r w:rsidR="00330033">
        <w:t xml:space="preserve"> found that </w:t>
      </w:r>
      <w:r w:rsidR="00330033">
        <w:rPr>
          <w:lang w:val="en"/>
        </w:rPr>
        <w:t>major efficiencies had</w:t>
      </w:r>
      <w:r w:rsidR="00330033" w:rsidRPr="00330033">
        <w:rPr>
          <w:lang w:val="en"/>
        </w:rPr>
        <w:t xml:space="preserve"> been achieved, consumers ha</w:t>
      </w:r>
      <w:r w:rsidR="00330033">
        <w:rPr>
          <w:lang w:val="en"/>
        </w:rPr>
        <w:t>d</w:t>
      </w:r>
      <w:r w:rsidR="00330033" w:rsidRPr="00330033">
        <w:rPr>
          <w:lang w:val="en"/>
        </w:rPr>
        <w:t xml:space="preserve"> benefited </w:t>
      </w:r>
      <w:r w:rsidR="00330033">
        <w:rPr>
          <w:lang w:val="en"/>
        </w:rPr>
        <w:t>from</w:t>
      </w:r>
      <w:r w:rsidR="00330033" w:rsidRPr="00330033">
        <w:rPr>
          <w:lang w:val="en"/>
        </w:rPr>
        <w:t xml:space="preserve"> lower prices, </w:t>
      </w:r>
      <w:r w:rsidR="00330033">
        <w:rPr>
          <w:lang w:val="en"/>
        </w:rPr>
        <w:t xml:space="preserve">and </w:t>
      </w:r>
      <w:r w:rsidR="00330033" w:rsidRPr="00330033">
        <w:rPr>
          <w:lang w:val="en"/>
        </w:rPr>
        <w:t>the increased government subsidy ha</w:t>
      </w:r>
      <w:r w:rsidR="00172FFA">
        <w:rPr>
          <w:lang w:val="en"/>
        </w:rPr>
        <w:t>d</w:t>
      </w:r>
      <w:r w:rsidR="00330033" w:rsidRPr="00330033">
        <w:rPr>
          <w:lang w:val="en"/>
        </w:rPr>
        <w:t xml:space="preserve"> been largely recouped through privatisation proceeds. </w:t>
      </w:r>
      <w:r w:rsidR="00330033">
        <w:rPr>
          <w:lang w:val="en"/>
        </w:rPr>
        <w:t xml:space="preserve"> </w:t>
      </w:r>
    </w:p>
    <w:p w14:paraId="0662A26D" w14:textId="62876A9A" w:rsidR="00C9142D" w:rsidRDefault="00FA7568" w:rsidP="003D2C33">
      <w:pPr>
        <w:jc w:val="both"/>
        <w:rPr>
          <w:lang w:val="en"/>
        </w:rPr>
      </w:pPr>
      <w:r>
        <w:rPr>
          <w:lang w:val="en"/>
        </w:rPr>
        <w:t xml:space="preserve">With the benefit of hindsight, probably all of these studies were undertaken at too early </w:t>
      </w:r>
      <w:r w:rsidR="00761C55">
        <w:rPr>
          <w:lang w:val="en"/>
        </w:rPr>
        <w:t xml:space="preserve">a </w:t>
      </w:r>
      <w:r>
        <w:rPr>
          <w:lang w:val="en"/>
        </w:rPr>
        <w:t>stage</w:t>
      </w:r>
      <w:r w:rsidR="00CC30CA">
        <w:rPr>
          <w:lang w:val="en"/>
        </w:rPr>
        <w:t xml:space="preserve"> of the privatised era</w:t>
      </w:r>
      <w:r w:rsidR="009D44FE">
        <w:rPr>
          <w:lang w:val="en"/>
        </w:rPr>
        <w:t xml:space="preserve"> for any real insights to be gained</w:t>
      </w:r>
      <w:r w:rsidR="00CC30CA">
        <w:rPr>
          <w:lang w:val="en"/>
        </w:rPr>
        <w:t xml:space="preserve">, and need to be recognised for what they </w:t>
      </w:r>
      <w:r w:rsidR="009D44FE">
        <w:rPr>
          <w:lang w:val="en"/>
        </w:rPr>
        <w:t>were</w:t>
      </w:r>
      <w:r w:rsidR="00CC30CA">
        <w:rPr>
          <w:lang w:val="en"/>
        </w:rPr>
        <w:t xml:space="preserve">, which </w:t>
      </w:r>
      <w:r w:rsidR="009D44FE">
        <w:rPr>
          <w:lang w:val="en"/>
        </w:rPr>
        <w:t>w</w:t>
      </w:r>
      <w:r w:rsidR="008E5531">
        <w:rPr>
          <w:lang w:val="en"/>
        </w:rPr>
        <w:t>ere</w:t>
      </w:r>
      <w:r w:rsidR="00CC30CA">
        <w:rPr>
          <w:lang w:val="en"/>
        </w:rPr>
        <w:t xml:space="preserve"> basically very early stage results.  </w:t>
      </w:r>
      <w:r>
        <w:rPr>
          <w:lang w:val="en"/>
        </w:rPr>
        <w:t xml:space="preserve">Major issues with the </w:t>
      </w:r>
      <w:r w:rsidR="00094101">
        <w:rPr>
          <w:lang w:val="en"/>
        </w:rPr>
        <w:t>privatised</w:t>
      </w:r>
      <w:r>
        <w:rPr>
          <w:lang w:val="en"/>
        </w:rPr>
        <w:t xml:space="preserve"> structure </w:t>
      </w:r>
      <w:r w:rsidR="00761C55">
        <w:rPr>
          <w:lang w:val="en"/>
        </w:rPr>
        <w:t xml:space="preserve">began to </w:t>
      </w:r>
      <w:r w:rsidR="00094101">
        <w:rPr>
          <w:lang w:val="en"/>
        </w:rPr>
        <w:t xml:space="preserve">emerge </w:t>
      </w:r>
      <w:r>
        <w:rPr>
          <w:lang w:val="en"/>
        </w:rPr>
        <w:t>with the</w:t>
      </w:r>
      <w:r w:rsidR="00761C55">
        <w:rPr>
          <w:lang w:val="en"/>
        </w:rPr>
        <w:t xml:space="preserve"> </w:t>
      </w:r>
      <w:r>
        <w:rPr>
          <w:lang w:val="en"/>
        </w:rPr>
        <w:t>Ha</w:t>
      </w:r>
      <w:r w:rsidR="00330033">
        <w:t>tfield</w:t>
      </w:r>
      <w:r w:rsidR="00820C83">
        <w:t xml:space="preserve"> </w:t>
      </w:r>
      <w:r>
        <w:t>accident</w:t>
      </w:r>
      <w:r w:rsidR="00172FFA">
        <w:t xml:space="preserve">, which subsequent research </w:t>
      </w:r>
      <w:r w:rsidR="008E5531">
        <w:t xml:space="preserve">has </w:t>
      </w:r>
      <w:r w:rsidR="00330033">
        <w:t xml:space="preserve">found </w:t>
      </w:r>
      <w:r w:rsidR="0022455D">
        <w:t>had</w:t>
      </w:r>
      <w:r w:rsidR="00FB1A33">
        <w:t xml:space="preserve"> </w:t>
      </w:r>
      <w:r w:rsidR="00330033">
        <w:t xml:space="preserve">a profound </w:t>
      </w:r>
      <w:r w:rsidR="0026078A">
        <w:t>impact</w:t>
      </w:r>
      <w:r w:rsidR="00330033">
        <w:t xml:space="preserve"> on the supply side of the industry</w:t>
      </w:r>
      <w:r w:rsidR="00761C55">
        <w:t xml:space="preserve">.  </w:t>
      </w:r>
      <w:r w:rsidR="00426310">
        <w:t xml:space="preserve">The accident </w:t>
      </w:r>
      <w:r w:rsidR="00CA2024">
        <w:t>occurred on 17</w:t>
      </w:r>
      <w:r w:rsidR="00CA2024" w:rsidRPr="001E4B8E">
        <w:rPr>
          <w:vertAlign w:val="superscript"/>
        </w:rPr>
        <w:t>th</w:t>
      </w:r>
      <w:r w:rsidR="00CA2024">
        <w:t xml:space="preserve"> October 2000 and </w:t>
      </w:r>
      <w:r w:rsidR="001E4B8E">
        <w:t xml:space="preserve">resulted in four fatalities </w:t>
      </w:r>
      <w:r w:rsidR="00426310">
        <w:t xml:space="preserve">when an intercity train derailed due to a broken rail which was known to be at risk.  </w:t>
      </w:r>
      <w:r w:rsidR="001E4B8E">
        <w:t xml:space="preserve">As a result, major speed restrictions were imposed across the whole network.  Hatfield and subsequent events </w:t>
      </w:r>
      <w:r w:rsidR="0022455D">
        <w:t xml:space="preserve">uncovered some serious issues with the robustness of the </w:t>
      </w:r>
      <w:r w:rsidR="000D4AAF">
        <w:t>privatised</w:t>
      </w:r>
      <w:r w:rsidR="0022455D">
        <w:t xml:space="preserve"> structure</w:t>
      </w:r>
      <w:r w:rsidR="00761C55">
        <w:t xml:space="preserve">, particularly with regard to responding to </w:t>
      </w:r>
      <w:r w:rsidR="00172FFA">
        <w:t xml:space="preserve">‘shock’ or </w:t>
      </w:r>
      <w:r w:rsidR="00761C55">
        <w:t>non-standard events</w:t>
      </w:r>
      <w:r w:rsidR="005078F4">
        <w:rPr>
          <w:lang w:val="en"/>
        </w:rPr>
        <w:t>.   Cowie (2009)</w:t>
      </w:r>
      <w:r w:rsidR="0026078A">
        <w:rPr>
          <w:lang w:val="en"/>
        </w:rPr>
        <w:t>, in a study of the effect of</w:t>
      </w:r>
      <w:r w:rsidR="005078F4">
        <w:rPr>
          <w:lang w:val="en"/>
        </w:rPr>
        <w:t xml:space="preserve"> subsidy profiles on productivity over the lifetime of the first franchises, estimat</w:t>
      </w:r>
      <w:r w:rsidR="0026078A">
        <w:rPr>
          <w:lang w:val="en"/>
        </w:rPr>
        <w:t>ed</w:t>
      </w:r>
      <w:r w:rsidR="005078F4">
        <w:rPr>
          <w:lang w:val="en"/>
        </w:rPr>
        <w:t xml:space="preserve"> productivity through a DEA based Malmquist productivity index (MPI)</w:t>
      </w:r>
      <w:r w:rsidR="000F17CD">
        <w:rPr>
          <w:lang w:val="en"/>
        </w:rPr>
        <w:t xml:space="preserve">.  TFP </w:t>
      </w:r>
      <w:r w:rsidR="00172FFA">
        <w:rPr>
          <w:lang w:val="en"/>
        </w:rPr>
        <w:t>was found to increase by an average annual rate o</w:t>
      </w:r>
      <w:r w:rsidR="000F17CD">
        <w:rPr>
          <w:lang w:val="en"/>
        </w:rPr>
        <w:t xml:space="preserve">f just over one percent per annum across the whole period, </w:t>
      </w:r>
      <w:r w:rsidR="009D44FE">
        <w:rPr>
          <w:lang w:val="en"/>
        </w:rPr>
        <w:t>hence far lower than earl</w:t>
      </w:r>
      <w:r w:rsidR="00172FFA">
        <w:rPr>
          <w:lang w:val="en"/>
        </w:rPr>
        <w:t>ier</w:t>
      </w:r>
      <w:r w:rsidR="009D44FE">
        <w:rPr>
          <w:lang w:val="en"/>
        </w:rPr>
        <w:t xml:space="preserve"> studies, </w:t>
      </w:r>
      <w:r w:rsidR="000F17CD">
        <w:rPr>
          <w:lang w:val="en"/>
        </w:rPr>
        <w:t xml:space="preserve">and this had mainly arisen out of (soft) technical change.  Train Operating </w:t>
      </w:r>
      <w:r w:rsidR="00074ACD">
        <w:rPr>
          <w:lang w:val="en"/>
        </w:rPr>
        <w:t>Co</w:t>
      </w:r>
      <w:r w:rsidR="000F17CD">
        <w:rPr>
          <w:lang w:val="en"/>
        </w:rPr>
        <w:t xml:space="preserve">mpany (TOC) subsidy profiles were found to have had a close association with productivity improvements.  </w:t>
      </w:r>
      <w:r w:rsidR="00FB1A33">
        <w:rPr>
          <w:lang w:val="en"/>
        </w:rPr>
        <w:t xml:space="preserve"> </w:t>
      </w:r>
      <w:r w:rsidR="000F17CD">
        <w:rPr>
          <w:lang w:val="en"/>
        </w:rPr>
        <w:t xml:space="preserve">A key study in this area is Smith (2006), who compared TFP levels in the privatised industry with those in the former publicly owned British Rail.  </w:t>
      </w:r>
      <w:r w:rsidR="00F8232B">
        <w:rPr>
          <w:lang w:val="en"/>
        </w:rPr>
        <w:t>This was based on a translog total cost function from which measures of TFP</w:t>
      </w:r>
      <w:r w:rsidR="002A0CC3">
        <w:rPr>
          <w:lang w:val="en"/>
        </w:rPr>
        <w:t xml:space="preserve"> (under three different contexts)</w:t>
      </w:r>
      <w:r w:rsidR="00F8232B">
        <w:rPr>
          <w:lang w:val="en"/>
        </w:rPr>
        <w:t xml:space="preserve"> were derived</w:t>
      </w:r>
      <w:r w:rsidR="0067387D">
        <w:rPr>
          <w:lang w:val="en"/>
        </w:rPr>
        <w:t xml:space="preserve">, and also a straight ‘cash’ cost computed </w:t>
      </w:r>
      <w:r w:rsidR="006E1BA4">
        <w:rPr>
          <w:lang w:val="en"/>
        </w:rPr>
        <w:t>Törnqvist</w:t>
      </w:r>
      <w:r w:rsidR="00F8232B">
        <w:rPr>
          <w:lang w:val="en"/>
        </w:rPr>
        <w:t xml:space="preserve"> index.  The modelled </w:t>
      </w:r>
      <w:r w:rsidR="00B4446C">
        <w:rPr>
          <w:lang w:val="en"/>
        </w:rPr>
        <w:t>estimates</w:t>
      </w:r>
      <w:r w:rsidR="00F8232B">
        <w:rPr>
          <w:lang w:val="en"/>
        </w:rPr>
        <w:t xml:space="preserve"> showed broadly similar patterns, but important</w:t>
      </w:r>
      <w:r w:rsidR="002A0CC3">
        <w:rPr>
          <w:lang w:val="en"/>
        </w:rPr>
        <w:t>ly</w:t>
      </w:r>
      <w:r w:rsidR="00F8232B">
        <w:rPr>
          <w:lang w:val="en"/>
        </w:rPr>
        <w:t xml:space="preserve"> from th</w:t>
      </w:r>
      <w:r w:rsidR="002A0CC3">
        <w:rPr>
          <w:lang w:val="en"/>
        </w:rPr>
        <w:t>e current</w:t>
      </w:r>
      <w:r w:rsidR="00F8232B">
        <w:rPr>
          <w:lang w:val="en"/>
        </w:rPr>
        <w:t xml:space="preserve"> perspective </w:t>
      </w:r>
      <w:r w:rsidR="00B4446C">
        <w:rPr>
          <w:lang w:val="en"/>
        </w:rPr>
        <w:t xml:space="preserve">indicated that it was in the early privatised era (i.e. </w:t>
      </w:r>
      <w:r w:rsidR="00CA2024">
        <w:rPr>
          <w:lang w:val="en"/>
        </w:rPr>
        <w:t>pre</w:t>
      </w:r>
      <w:r w:rsidR="00B4446C">
        <w:rPr>
          <w:lang w:val="en"/>
        </w:rPr>
        <w:t xml:space="preserve"> </w:t>
      </w:r>
      <w:r w:rsidR="00746F81">
        <w:rPr>
          <w:lang w:val="en"/>
        </w:rPr>
        <w:t>Hatfield</w:t>
      </w:r>
      <w:r w:rsidR="00B4446C">
        <w:rPr>
          <w:lang w:val="en"/>
        </w:rPr>
        <w:t xml:space="preserve">), </w:t>
      </w:r>
      <w:r w:rsidR="006E1BA4">
        <w:rPr>
          <w:lang w:val="en"/>
        </w:rPr>
        <w:t xml:space="preserve">where </w:t>
      </w:r>
      <w:r w:rsidR="00B4446C">
        <w:rPr>
          <w:lang w:val="en"/>
        </w:rPr>
        <w:t>the highest levels of productivity improvement</w:t>
      </w:r>
      <w:r w:rsidR="00C6394A">
        <w:rPr>
          <w:lang w:val="en"/>
        </w:rPr>
        <w:t xml:space="preserve"> were achieved</w:t>
      </w:r>
      <w:r w:rsidR="006E1BA4">
        <w:rPr>
          <w:lang w:val="en"/>
        </w:rPr>
        <w:t xml:space="preserve">.  These ranged from </w:t>
      </w:r>
      <w:r w:rsidR="009D44FE">
        <w:rPr>
          <w:lang w:val="en"/>
        </w:rPr>
        <w:t>1</w:t>
      </w:r>
      <w:r w:rsidR="006E1BA4">
        <w:rPr>
          <w:lang w:val="en"/>
        </w:rPr>
        <w:t xml:space="preserve"> to </w:t>
      </w:r>
      <w:r w:rsidR="009D44FE">
        <w:rPr>
          <w:lang w:val="en"/>
        </w:rPr>
        <w:t>2½%</w:t>
      </w:r>
      <w:r w:rsidR="005936C9">
        <w:rPr>
          <w:lang w:val="en"/>
        </w:rPr>
        <w:t xml:space="preserve"> gains</w:t>
      </w:r>
      <w:r w:rsidR="006E1BA4">
        <w:rPr>
          <w:lang w:val="en"/>
        </w:rPr>
        <w:t xml:space="preserve">, which contrasted with </w:t>
      </w:r>
      <w:r w:rsidR="00C6394A">
        <w:rPr>
          <w:lang w:val="en"/>
        </w:rPr>
        <w:lastRenderedPageBreak/>
        <w:t xml:space="preserve">estimated </w:t>
      </w:r>
      <w:r w:rsidR="005936C9">
        <w:rPr>
          <w:lang w:val="en"/>
        </w:rPr>
        <w:t xml:space="preserve">declines </w:t>
      </w:r>
      <w:r w:rsidR="00B4446C">
        <w:rPr>
          <w:lang w:val="en"/>
        </w:rPr>
        <w:t xml:space="preserve">of between 1% and 2% </w:t>
      </w:r>
      <w:r w:rsidR="005936C9">
        <w:rPr>
          <w:lang w:val="en"/>
        </w:rPr>
        <w:t>per</w:t>
      </w:r>
      <w:r w:rsidR="00B4446C">
        <w:rPr>
          <w:lang w:val="en"/>
        </w:rPr>
        <w:t xml:space="preserve"> annum </w:t>
      </w:r>
      <w:r w:rsidR="00C6394A">
        <w:rPr>
          <w:lang w:val="en"/>
        </w:rPr>
        <w:t>over</w:t>
      </w:r>
      <w:r w:rsidR="00B4446C">
        <w:rPr>
          <w:lang w:val="en"/>
        </w:rPr>
        <w:t xml:space="preserve"> the whole sample.  </w:t>
      </w:r>
      <w:r w:rsidR="009D44FE">
        <w:rPr>
          <w:lang w:val="en"/>
        </w:rPr>
        <w:t>In other words, t</w:t>
      </w:r>
      <w:r w:rsidR="00B4446C">
        <w:rPr>
          <w:lang w:val="en"/>
        </w:rPr>
        <w:t>he</w:t>
      </w:r>
      <w:r w:rsidR="00C6394A">
        <w:rPr>
          <w:lang w:val="en"/>
        </w:rPr>
        <w:t xml:space="preserve"> early </w:t>
      </w:r>
      <w:r w:rsidR="00B4446C">
        <w:rPr>
          <w:lang w:val="en"/>
        </w:rPr>
        <w:t xml:space="preserve">gains (and more), were subsequently eradicated by the </w:t>
      </w:r>
      <w:r w:rsidR="00746F81">
        <w:rPr>
          <w:lang w:val="en"/>
        </w:rPr>
        <w:t>consequence</w:t>
      </w:r>
      <w:r w:rsidR="005936C9">
        <w:rPr>
          <w:lang w:val="en"/>
        </w:rPr>
        <w:t>s</w:t>
      </w:r>
      <w:r w:rsidR="00746F81">
        <w:rPr>
          <w:lang w:val="en"/>
        </w:rPr>
        <w:t xml:space="preserve"> of Hatfield</w:t>
      </w:r>
      <w:r w:rsidR="00B4446C">
        <w:rPr>
          <w:lang w:val="en"/>
        </w:rPr>
        <w:t xml:space="preserve">.  </w:t>
      </w:r>
    </w:p>
    <w:p w14:paraId="1A5CA6C1" w14:textId="5036FFA3" w:rsidR="005F3947" w:rsidRDefault="009D44FE" w:rsidP="003D2C33">
      <w:pPr>
        <w:jc w:val="both"/>
        <w:rPr>
          <w:lang w:val="en"/>
        </w:rPr>
      </w:pPr>
      <w:r>
        <w:rPr>
          <w:lang w:val="en"/>
        </w:rPr>
        <w:t xml:space="preserve">In further studies, </w:t>
      </w:r>
      <w:r w:rsidR="003963BE" w:rsidRPr="003963BE">
        <w:rPr>
          <w:lang w:val="en"/>
        </w:rPr>
        <w:t>Smith</w:t>
      </w:r>
      <w:r w:rsidR="003963BE">
        <w:rPr>
          <w:lang w:val="en"/>
        </w:rPr>
        <w:t xml:space="preserve"> </w:t>
      </w:r>
      <w:r w:rsidR="003963BE" w:rsidRPr="003963BE">
        <w:rPr>
          <w:lang w:val="en"/>
        </w:rPr>
        <w:t>et al. (2009) found that TOC costs increased by around 45 per cent between 2000 and</w:t>
      </w:r>
      <w:r w:rsidR="003963BE">
        <w:rPr>
          <w:lang w:val="en"/>
        </w:rPr>
        <w:t xml:space="preserve"> </w:t>
      </w:r>
      <w:r w:rsidR="003963BE" w:rsidRPr="003963BE">
        <w:rPr>
          <w:lang w:val="en"/>
        </w:rPr>
        <w:t>2006</w:t>
      </w:r>
      <w:r w:rsidR="003963BE">
        <w:rPr>
          <w:lang w:val="en"/>
        </w:rPr>
        <w:t xml:space="preserve">, which represented </w:t>
      </w:r>
      <w:r w:rsidR="00954F22">
        <w:rPr>
          <w:lang w:val="en"/>
        </w:rPr>
        <w:t xml:space="preserve">a </w:t>
      </w:r>
      <w:r w:rsidR="003963BE" w:rsidRPr="003963BE">
        <w:rPr>
          <w:lang w:val="en"/>
        </w:rPr>
        <w:t xml:space="preserve">35 per cent </w:t>
      </w:r>
      <w:r w:rsidR="003963BE">
        <w:rPr>
          <w:lang w:val="en"/>
        </w:rPr>
        <w:t xml:space="preserve">increase when expressed </w:t>
      </w:r>
      <w:r w:rsidR="003963BE" w:rsidRPr="003963BE">
        <w:rPr>
          <w:lang w:val="en"/>
        </w:rPr>
        <w:t>on a cost per train kilomet</w:t>
      </w:r>
      <w:r w:rsidR="006E1BA4">
        <w:rPr>
          <w:lang w:val="en"/>
        </w:rPr>
        <w:t>r</w:t>
      </w:r>
      <w:r w:rsidR="003963BE">
        <w:rPr>
          <w:lang w:val="en"/>
        </w:rPr>
        <w:t>e</w:t>
      </w:r>
      <w:r w:rsidR="003963BE" w:rsidRPr="003963BE">
        <w:rPr>
          <w:lang w:val="en"/>
        </w:rPr>
        <w:t xml:space="preserve"> basis. </w:t>
      </w:r>
      <w:r w:rsidR="003963BE">
        <w:rPr>
          <w:lang w:val="en"/>
        </w:rPr>
        <w:t xml:space="preserve"> </w:t>
      </w:r>
      <w:r w:rsidR="003963BE" w:rsidRPr="003963BE">
        <w:rPr>
          <w:lang w:val="en"/>
        </w:rPr>
        <w:t xml:space="preserve">This </w:t>
      </w:r>
      <w:r w:rsidR="000D6D10">
        <w:rPr>
          <w:lang w:val="en"/>
        </w:rPr>
        <w:t xml:space="preserve">the authors highlighted resulted in </w:t>
      </w:r>
      <w:r w:rsidR="003963BE" w:rsidRPr="003963BE">
        <w:rPr>
          <w:lang w:val="en"/>
        </w:rPr>
        <w:t xml:space="preserve">cost </w:t>
      </w:r>
      <w:r w:rsidR="000D6D10">
        <w:rPr>
          <w:lang w:val="en"/>
        </w:rPr>
        <w:t xml:space="preserve">increases that equated to </w:t>
      </w:r>
      <w:r w:rsidR="003963BE" w:rsidRPr="003963BE">
        <w:rPr>
          <w:lang w:val="en"/>
        </w:rPr>
        <w:t>approximately £1.5 billion per year and</w:t>
      </w:r>
      <w:r w:rsidR="000D6D10">
        <w:rPr>
          <w:lang w:val="en"/>
        </w:rPr>
        <w:t xml:space="preserve"> led to a substantial increase in </w:t>
      </w:r>
      <w:r w:rsidR="003963BE" w:rsidRPr="003963BE">
        <w:rPr>
          <w:lang w:val="en"/>
        </w:rPr>
        <w:t>state subsidies to</w:t>
      </w:r>
      <w:r w:rsidR="003963BE">
        <w:rPr>
          <w:lang w:val="en"/>
        </w:rPr>
        <w:t xml:space="preserve"> </w:t>
      </w:r>
      <w:r w:rsidR="00954F22">
        <w:rPr>
          <w:lang w:val="en"/>
        </w:rPr>
        <w:t>passenger train operators</w:t>
      </w:r>
      <w:r w:rsidR="003963BE">
        <w:rPr>
          <w:lang w:val="en"/>
        </w:rPr>
        <w:t xml:space="preserve">.  </w:t>
      </w:r>
      <w:r w:rsidR="000D6D10">
        <w:rPr>
          <w:lang w:val="en"/>
        </w:rPr>
        <w:t xml:space="preserve">One issue however </w:t>
      </w:r>
      <w:r w:rsidR="00DA5276">
        <w:rPr>
          <w:lang w:val="en"/>
        </w:rPr>
        <w:t xml:space="preserve">not considered was the substantial increase in patronage that occurred over the same period.  These rose </w:t>
      </w:r>
      <w:r w:rsidR="000D6D10">
        <w:rPr>
          <w:lang w:val="en"/>
        </w:rPr>
        <w:t xml:space="preserve">by </w:t>
      </w:r>
      <w:r w:rsidR="00F247E4">
        <w:rPr>
          <w:lang w:val="en"/>
        </w:rPr>
        <w:t>just under 17</w:t>
      </w:r>
      <w:r w:rsidR="000D6D10">
        <w:rPr>
          <w:lang w:val="en"/>
        </w:rPr>
        <w:t>%</w:t>
      </w:r>
      <w:r w:rsidR="00F247E4">
        <w:rPr>
          <w:lang w:val="en"/>
        </w:rPr>
        <w:t xml:space="preserve"> (DfT, 2011)</w:t>
      </w:r>
      <w:r w:rsidR="000D6D10">
        <w:rPr>
          <w:lang w:val="en"/>
        </w:rPr>
        <w:t xml:space="preserve">, </w:t>
      </w:r>
      <w:r w:rsidR="00F247E4">
        <w:rPr>
          <w:lang w:val="en"/>
        </w:rPr>
        <w:t>hence</w:t>
      </w:r>
      <w:r w:rsidR="000D6D10">
        <w:rPr>
          <w:lang w:val="en"/>
        </w:rPr>
        <w:t xml:space="preserve"> </w:t>
      </w:r>
      <w:r>
        <w:rPr>
          <w:lang w:val="en"/>
        </w:rPr>
        <w:t>raises the question if</w:t>
      </w:r>
      <w:r w:rsidR="000D6D10">
        <w:rPr>
          <w:lang w:val="en"/>
        </w:rPr>
        <w:t xml:space="preserve"> </w:t>
      </w:r>
      <w:r w:rsidR="00954F22">
        <w:rPr>
          <w:lang w:val="en"/>
        </w:rPr>
        <w:t>all of th</w:t>
      </w:r>
      <w:r w:rsidR="00C9142D">
        <w:rPr>
          <w:lang w:val="en"/>
        </w:rPr>
        <w:t>ese additional costs</w:t>
      </w:r>
      <w:r w:rsidR="00954F22">
        <w:rPr>
          <w:lang w:val="en"/>
        </w:rPr>
        <w:t xml:space="preserve"> represented </w:t>
      </w:r>
      <w:r w:rsidR="00227374">
        <w:rPr>
          <w:lang w:val="en"/>
        </w:rPr>
        <w:t xml:space="preserve">real </w:t>
      </w:r>
      <w:r w:rsidR="000D6D10">
        <w:rPr>
          <w:lang w:val="en"/>
        </w:rPr>
        <w:t>cost increases</w:t>
      </w:r>
      <w:r w:rsidR="00CA2024">
        <w:rPr>
          <w:lang w:val="en"/>
        </w:rPr>
        <w:t>.</w:t>
      </w:r>
      <w:r w:rsidR="00227374">
        <w:rPr>
          <w:lang w:val="en"/>
        </w:rPr>
        <w:t xml:space="preserve"> </w:t>
      </w:r>
      <w:r w:rsidR="00DA5276">
        <w:rPr>
          <w:lang w:val="en"/>
        </w:rPr>
        <w:t xml:space="preserve"> </w:t>
      </w:r>
      <w:r w:rsidR="00CA2024">
        <w:rPr>
          <w:lang w:val="en"/>
        </w:rPr>
        <w:t xml:space="preserve">Purely </w:t>
      </w:r>
      <w:r w:rsidR="00227374">
        <w:rPr>
          <w:lang w:val="en"/>
        </w:rPr>
        <w:t xml:space="preserve">in terms of train provision it </w:t>
      </w:r>
      <w:r w:rsidR="00C9142D">
        <w:rPr>
          <w:lang w:val="en"/>
        </w:rPr>
        <w:t>did</w:t>
      </w:r>
      <w:r w:rsidR="00227374">
        <w:rPr>
          <w:lang w:val="en"/>
        </w:rPr>
        <w:t xml:space="preserve">, but </w:t>
      </w:r>
      <w:r w:rsidR="00CA2024">
        <w:rPr>
          <w:lang w:val="en"/>
        </w:rPr>
        <w:t xml:space="preserve">not all of these increases </w:t>
      </w:r>
      <w:r w:rsidR="00227374">
        <w:rPr>
          <w:lang w:val="en"/>
        </w:rPr>
        <w:t xml:space="preserve">should </w:t>
      </w:r>
      <w:r w:rsidR="00F247E4">
        <w:rPr>
          <w:lang w:val="en"/>
        </w:rPr>
        <w:t>then be</w:t>
      </w:r>
      <w:r w:rsidR="00227374">
        <w:rPr>
          <w:lang w:val="en"/>
        </w:rPr>
        <w:t xml:space="preserve"> equated with inefficiency</w:t>
      </w:r>
      <w:r w:rsidR="00F247E4">
        <w:rPr>
          <w:lang w:val="en"/>
        </w:rPr>
        <w:t xml:space="preserve"> of the operator</w:t>
      </w:r>
      <w:r w:rsidR="00CA2024">
        <w:rPr>
          <w:lang w:val="en"/>
        </w:rPr>
        <w:t xml:space="preserve">.  </w:t>
      </w:r>
      <w:r w:rsidR="003963BE">
        <w:rPr>
          <w:lang w:val="en"/>
        </w:rPr>
        <w:t>F</w:t>
      </w:r>
      <w:r w:rsidR="00FB1A33">
        <w:rPr>
          <w:lang w:val="en"/>
        </w:rPr>
        <w:t xml:space="preserve">urther work undertaken by </w:t>
      </w:r>
      <w:r w:rsidR="003963BE">
        <w:rPr>
          <w:lang w:val="en"/>
        </w:rPr>
        <w:t>the same authors (</w:t>
      </w:r>
      <w:r w:rsidR="00380FB1">
        <w:rPr>
          <w:lang w:val="en"/>
        </w:rPr>
        <w:t>Smith et al</w:t>
      </w:r>
      <w:r w:rsidR="003963BE">
        <w:rPr>
          <w:lang w:val="en"/>
        </w:rPr>
        <w:t xml:space="preserve">, </w:t>
      </w:r>
      <w:r w:rsidR="00380FB1">
        <w:rPr>
          <w:lang w:val="en"/>
        </w:rPr>
        <w:t>2010)</w:t>
      </w:r>
      <w:r w:rsidR="006B6A1A">
        <w:rPr>
          <w:lang w:val="en"/>
        </w:rPr>
        <w:t xml:space="preserve"> </w:t>
      </w:r>
      <w:r w:rsidR="00227374">
        <w:rPr>
          <w:lang w:val="en"/>
        </w:rPr>
        <w:t>examined</w:t>
      </w:r>
      <w:r w:rsidR="006B6A1A">
        <w:rPr>
          <w:lang w:val="en"/>
        </w:rPr>
        <w:t xml:space="preserve"> the impact of passenger rail franchising on costs, productivity and efficiency, </w:t>
      </w:r>
      <w:r w:rsidR="00227374">
        <w:rPr>
          <w:lang w:val="en"/>
        </w:rPr>
        <w:t xml:space="preserve">through </w:t>
      </w:r>
      <w:r w:rsidR="006B6A1A">
        <w:rPr>
          <w:lang w:val="en"/>
        </w:rPr>
        <w:t>a re-examination of past research findings</w:t>
      </w:r>
      <w:r w:rsidR="0022455D">
        <w:rPr>
          <w:lang w:val="en"/>
        </w:rPr>
        <w:t xml:space="preserve">.  What they </w:t>
      </w:r>
      <w:r w:rsidR="00227374">
        <w:rPr>
          <w:lang w:val="en"/>
        </w:rPr>
        <w:t>found</w:t>
      </w:r>
      <w:r w:rsidR="00380FB1">
        <w:rPr>
          <w:lang w:val="en"/>
        </w:rPr>
        <w:t xml:space="preserve"> </w:t>
      </w:r>
      <w:r w:rsidR="0022455D">
        <w:rPr>
          <w:lang w:val="en"/>
        </w:rPr>
        <w:t xml:space="preserve">was </w:t>
      </w:r>
      <w:r w:rsidR="00380FB1" w:rsidRPr="00380FB1">
        <w:rPr>
          <w:lang w:val="en"/>
        </w:rPr>
        <w:t>deterioratin</w:t>
      </w:r>
      <w:r w:rsidR="00380FB1">
        <w:rPr>
          <w:lang w:val="en"/>
        </w:rPr>
        <w:t xml:space="preserve">g productivity and rising costs in the British industry, which they </w:t>
      </w:r>
      <w:r w:rsidR="0022455D">
        <w:rPr>
          <w:lang w:val="en"/>
        </w:rPr>
        <w:t>highlighted was</w:t>
      </w:r>
      <w:r w:rsidR="00227374">
        <w:rPr>
          <w:lang w:val="en"/>
        </w:rPr>
        <w:t xml:space="preserve"> in</w:t>
      </w:r>
      <w:r w:rsidR="00380FB1">
        <w:rPr>
          <w:lang w:val="en"/>
        </w:rPr>
        <w:t xml:space="preserve"> direct</w:t>
      </w:r>
      <w:r w:rsidR="00380FB1" w:rsidRPr="00380FB1">
        <w:rPr>
          <w:lang w:val="en"/>
        </w:rPr>
        <w:t xml:space="preserve"> contrast to experience in other </w:t>
      </w:r>
      <w:r w:rsidR="00227374">
        <w:rPr>
          <w:lang w:val="en"/>
        </w:rPr>
        <w:t xml:space="preserve">(public) </w:t>
      </w:r>
      <w:r w:rsidR="00380FB1" w:rsidRPr="00380FB1">
        <w:rPr>
          <w:lang w:val="en"/>
        </w:rPr>
        <w:t xml:space="preserve">sectors and </w:t>
      </w:r>
      <w:r w:rsidR="00F247E4">
        <w:rPr>
          <w:lang w:val="en"/>
        </w:rPr>
        <w:t xml:space="preserve">of more general </w:t>
      </w:r>
      <w:r w:rsidR="00380FB1" w:rsidRPr="00380FB1">
        <w:rPr>
          <w:lang w:val="en"/>
        </w:rPr>
        <w:t xml:space="preserve">experience </w:t>
      </w:r>
      <w:r w:rsidR="00F247E4">
        <w:rPr>
          <w:lang w:val="en"/>
        </w:rPr>
        <w:t>with</w:t>
      </w:r>
      <w:r w:rsidR="00380FB1" w:rsidRPr="00380FB1">
        <w:rPr>
          <w:lang w:val="en"/>
        </w:rPr>
        <w:t xml:space="preserve"> rail</w:t>
      </w:r>
      <w:r w:rsidR="00380FB1">
        <w:rPr>
          <w:lang w:val="en"/>
        </w:rPr>
        <w:t xml:space="preserve"> </w:t>
      </w:r>
      <w:r w:rsidR="00380FB1" w:rsidRPr="00380FB1">
        <w:rPr>
          <w:lang w:val="en"/>
        </w:rPr>
        <w:t>franchising elsewhere in Europe</w:t>
      </w:r>
      <w:r w:rsidR="00380FB1">
        <w:rPr>
          <w:lang w:val="en"/>
        </w:rPr>
        <w:t xml:space="preserve">.  </w:t>
      </w:r>
      <w:r w:rsidR="00954F22">
        <w:rPr>
          <w:lang w:val="en"/>
        </w:rPr>
        <w:t>S</w:t>
      </w:r>
      <w:r w:rsidR="00227374">
        <w:rPr>
          <w:lang w:val="en"/>
        </w:rPr>
        <w:t xml:space="preserve">ome evidence </w:t>
      </w:r>
      <w:r w:rsidR="00954F22">
        <w:rPr>
          <w:lang w:val="en"/>
        </w:rPr>
        <w:t xml:space="preserve">was found </w:t>
      </w:r>
      <w:r w:rsidR="00227374">
        <w:rPr>
          <w:lang w:val="en"/>
        </w:rPr>
        <w:t xml:space="preserve">that this had been partly </w:t>
      </w:r>
      <w:r w:rsidR="00380FB1">
        <w:rPr>
          <w:lang w:val="en"/>
        </w:rPr>
        <w:t>caused by exogenous factors such as ris</w:t>
      </w:r>
      <w:r w:rsidR="00954F22">
        <w:rPr>
          <w:lang w:val="en"/>
        </w:rPr>
        <w:t>ing</w:t>
      </w:r>
      <w:r w:rsidR="00380FB1">
        <w:rPr>
          <w:lang w:val="en"/>
        </w:rPr>
        <w:t xml:space="preserve"> diesel prices,</w:t>
      </w:r>
      <w:r w:rsidR="00227374">
        <w:rPr>
          <w:lang w:val="en"/>
        </w:rPr>
        <w:t xml:space="preserve"> </w:t>
      </w:r>
      <w:r w:rsidR="00380FB1">
        <w:rPr>
          <w:lang w:val="en"/>
        </w:rPr>
        <w:t xml:space="preserve">but </w:t>
      </w:r>
      <w:r w:rsidR="00954F22">
        <w:rPr>
          <w:lang w:val="en"/>
        </w:rPr>
        <w:t xml:space="preserve">the authors </w:t>
      </w:r>
      <w:r w:rsidR="00380FB1">
        <w:rPr>
          <w:lang w:val="en"/>
        </w:rPr>
        <w:t>maintain</w:t>
      </w:r>
      <w:r w:rsidR="00227374">
        <w:rPr>
          <w:lang w:val="en"/>
        </w:rPr>
        <w:t>ed</w:t>
      </w:r>
      <w:r w:rsidR="00380FB1">
        <w:rPr>
          <w:lang w:val="en"/>
        </w:rPr>
        <w:t xml:space="preserve"> </w:t>
      </w:r>
      <w:r w:rsidR="00C6394A">
        <w:rPr>
          <w:lang w:val="en"/>
        </w:rPr>
        <w:t xml:space="preserve">that </w:t>
      </w:r>
      <w:r w:rsidR="00380FB1">
        <w:rPr>
          <w:lang w:val="en"/>
        </w:rPr>
        <w:t>cost</w:t>
      </w:r>
      <w:r w:rsidR="00C6394A">
        <w:rPr>
          <w:lang w:val="en"/>
        </w:rPr>
        <w:t xml:space="preserve"> increases </w:t>
      </w:r>
      <w:r w:rsidR="00227374">
        <w:rPr>
          <w:lang w:val="en"/>
        </w:rPr>
        <w:t>were</w:t>
      </w:r>
      <w:r w:rsidR="00380FB1">
        <w:rPr>
          <w:lang w:val="en"/>
        </w:rPr>
        <w:t xml:space="preserve"> over and above such rises.  </w:t>
      </w:r>
      <w:r w:rsidR="006B6A1A">
        <w:rPr>
          <w:lang w:val="en"/>
        </w:rPr>
        <w:t xml:space="preserve">Part of the reason </w:t>
      </w:r>
      <w:r w:rsidR="00954F22">
        <w:rPr>
          <w:lang w:val="en"/>
        </w:rPr>
        <w:t>was</w:t>
      </w:r>
      <w:r>
        <w:rPr>
          <w:lang w:val="en"/>
        </w:rPr>
        <w:t xml:space="preserve"> put down to th</w:t>
      </w:r>
      <w:r w:rsidR="006B6A1A">
        <w:rPr>
          <w:lang w:val="en"/>
        </w:rPr>
        <w:t>e Strategic Rail Authorit</w:t>
      </w:r>
      <w:r w:rsidR="0022455D">
        <w:rPr>
          <w:lang w:val="en"/>
        </w:rPr>
        <w:t>y’s</w:t>
      </w:r>
      <w:r w:rsidR="006B6A1A">
        <w:rPr>
          <w:lang w:val="en"/>
        </w:rPr>
        <w:t xml:space="preserve"> hitherto response to franchise failure, which to that point had generally been to renegotiate contracts, particularly </w:t>
      </w:r>
      <w:r w:rsidR="00074ACD">
        <w:rPr>
          <w:lang w:val="en"/>
        </w:rPr>
        <w:t>with regard to</w:t>
      </w:r>
      <w:r>
        <w:rPr>
          <w:lang w:val="en"/>
        </w:rPr>
        <w:t xml:space="preserve"> </w:t>
      </w:r>
      <w:r w:rsidR="005936C9">
        <w:rPr>
          <w:lang w:val="en"/>
        </w:rPr>
        <w:t xml:space="preserve">enhanced </w:t>
      </w:r>
      <w:r>
        <w:rPr>
          <w:lang w:val="en"/>
        </w:rPr>
        <w:t>contract extensions.</w:t>
      </w:r>
    </w:p>
    <w:p w14:paraId="6F75EEEF" w14:textId="00118046" w:rsidR="00FB1A33" w:rsidRDefault="00E36824" w:rsidP="003D2C33">
      <w:pPr>
        <w:jc w:val="both"/>
      </w:pPr>
      <w:r>
        <w:t xml:space="preserve">In a follow up study, </w:t>
      </w:r>
      <w:r w:rsidR="005F3947">
        <w:t>Smith and Wheat (2012)</w:t>
      </w:r>
      <w:r w:rsidR="00954F22">
        <w:t xml:space="preserve"> </w:t>
      </w:r>
      <w:r w:rsidR="005F3947">
        <w:t xml:space="preserve">examined the effect of contract types on costs by estimating a restricted translog model of </w:t>
      </w:r>
      <w:r w:rsidR="00CC30CA">
        <w:t xml:space="preserve">TOC controllable costs, with inputs specified as staff and rolling stock characteristics, and the outputs in terms of train density, route kilometre, stations, train punctuality and signals passed at danger (SPADS), but </w:t>
      </w:r>
      <w:r w:rsidR="00954F22">
        <w:t>did not include any</w:t>
      </w:r>
      <w:r w:rsidR="00CC30CA">
        <w:t xml:space="preserve"> output relating to passenger journeys.  A</w:t>
      </w:r>
      <w:r w:rsidR="005F3947">
        <w:t xml:space="preserve"> dummy variable to represent post Hatfield operating conditions</w:t>
      </w:r>
      <w:r w:rsidR="00CC30CA">
        <w:t xml:space="preserve"> was also included, as well as further dummies to represent different contract </w:t>
      </w:r>
      <w:r w:rsidR="005F3947">
        <w:t xml:space="preserve">types (management and renegotiated).  Their results showed that </w:t>
      </w:r>
      <w:r w:rsidR="005F3947" w:rsidRPr="009611BB">
        <w:t xml:space="preserve">operators on management contracts </w:t>
      </w:r>
      <w:r w:rsidR="005F3947">
        <w:t xml:space="preserve">experienced a large </w:t>
      </w:r>
      <w:r w:rsidR="005F3947" w:rsidRPr="009611BB">
        <w:t>deterioration in eﬃciency</w:t>
      </w:r>
      <w:r w:rsidR="005F3947">
        <w:t xml:space="preserve"> following the change of contract, although did achieve efficiency improvements through to </w:t>
      </w:r>
      <w:r w:rsidR="005F3947" w:rsidRPr="009611BB">
        <w:t xml:space="preserve">competitive refranchising. </w:t>
      </w:r>
      <w:r w:rsidR="005F3947">
        <w:t>C</w:t>
      </w:r>
      <w:r w:rsidR="005F3947" w:rsidRPr="009611BB">
        <w:t xml:space="preserve">osts for renegotiated franchises </w:t>
      </w:r>
      <w:r w:rsidR="005F3947">
        <w:t>on the other hand were found to be no</w:t>
      </w:r>
      <w:r w:rsidR="005F3947" w:rsidRPr="009611BB">
        <w:t xml:space="preserve"> higher (statistically) than industry best practice</w:t>
      </w:r>
      <w:r w:rsidR="00FB1A33">
        <w:t xml:space="preserve">, although costs across all companies were found to be rising.  This last result </w:t>
      </w:r>
      <w:r w:rsidR="00074ACD">
        <w:t>clearly</w:t>
      </w:r>
      <w:r w:rsidR="00FB1A33">
        <w:t xml:space="preserve"> suggest</w:t>
      </w:r>
      <w:r w:rsidR="00BB719D">
        <w:t>s</w:t>
      </w:r>
      <w:r w:rsidR="00FB1A33">
        <w:t xml:space="preserve"> that long run productivity </w:t>
      </w:r>
      <w:r w:rsidR="00885795">
        <w:t xml:space="preserve">has been </w:t>
      </w:r>
      <w:r w:rsidR="00FB1A33">
        <w:t>decreasing.</w:t>
      </w:r>
    </w:p>
    <w:p w14:paraId="2B46C854" w14:textId="6D1566A3" w:rsidR="00375C13" w:rsidRDefault="009D44FE" w:rsidP="003D2C33">
      <w:pPr>
        <w:jc w:val="both"/>
      </w:pPr>
      <w:r>
        <w:t>To summarise, to some extent the study of costs and productivity in the privatised British passenger rail has been characterised by a system that over the period has been subjected to a number of organisational</w:t>
      </w:r>
      <w:r w:rsidR="00847D09">
        <w:t xml:space="preserve"> and operational</w:t>
      </w:r>
      <w:r>
        <w:t xml:space="preserve"> ‘shocks’, and these have tended to be reflected in the </w:t>
      </w:r>
      <w:r w:rsidR="00281641">
        <w:t xml:space="preserve">research </w:t>
      </w:r>
      <w:r>
        <w:t xml:space="preserve">results.  </w:t>
      </w:r>
      <w:r w:rsidR="00847D09">
        <w:t>Generally speaking, early studies found strong gains in productivity</w:t>
      </w:r>
      <w:r w:rsidR="00C9142D">
        <w:t>,</w:t>
      </w:r>
      <w:r w:rsidR="00847D09">
        <w:t xml:space="preserve"> whilst later studies have found </w:t>
      </w:r>
      <w:r w:rsidR="00281641">
        <w:t xml:space="preserve">clear evidence that these </w:t>
      </w:r>
      <w:r w:rsidR="00074ACD">
        <w:t>advances</w:t>
      </w:r>
      <w:r w:rsidR="00281641">
        <w:t xml:space="preserve"> were </w:t>
      </w:r>
      <w:r w:rsidR="00074ACD">
        <w:t xml:space="preserve">eradicated by events following </w:t>
      </w:r>
      <w:r w:rsidR="00281641">
        <w:t>the Hatfield accident</w:t>
      </w:r>
      <w:r w:rsidR="00C9142D">
        <w:t xml:space="preserve">.  Post Hatfield, </w:t>
      </w:r>
      <w:r w:rsidR="00281641">
        <w:t xml:space="preserve">productivity has failed to </w:t>
      </w:r>
      <w:r w:rsidR="00746F81">
        <w:t>recapture</w:t>
      </w:r>
      <w:r w:rsidR="00281641">
        <w:t xml:space="preserve"> the earlier </w:t>
      </w:r>
      <w:r w:rsidR="00702706">
        <w:t>gains</w:t>
      </w:r>
      <w:r w:rsidR="00074ACD">
        <w:t>, and in fact the research suggests this has been in decline</w:t>
      </w:r>
      <w:r w:rsidR="00281641">
        <w:t>.  I</w:t>
      </w:r>
      <w:r w:rsidR="00AB4EA3">
        <w:t>t seems appropriate</w:t>
      </w:r>
      <w:r w:rsidR="00281641">
        <w:t xml:space="preserve"> therefore</w:t>
      </w:r>
      <w:r w:rsidR="00AB4EA3">
        <w:t xml:space="preserve"> to </w:t>
      </w:r>
      <w:r w:rsidR="00885795">
        <w:t xml:space="preserve">now </w:t>
      </w:r>
      <w:r w:rsidR="00AB4EA3">
        <w:t xml:space="preserve">examine the topic from a far longer time horizon, hence what should emerge are the (real) long run </w:t>
      </w:r>
      <w:r w:rsidR="00A822C9">
        <w:t>effects</w:t>
      </w:r>
      <w:r w:rsidR="00702706">
        <w:t xml:space="preserve"> of privatisation on productivity</w:t>
      </w:r>
      <w:r w:rsidR="00AB4EA3">
        <w:t>.</w:t>
      </w:r>
    </w:p>
    <w:p w14:paraId="558010F0" w14:textId="3A56AAA9" w:rsidR="00375C13" w:rsidRDefault="003448F9" w:rsidP="00471685">
      <w:pPr>
        <w:pStyle w:val="Heading2"/>
      </w:pPr>
      <w:r>
        <w:t xml:space="preserve">4. </w:t>
      </w:r>
      <w:r w:rsidR="00375C13">
        <w:t xml:space="preserve">Data and </w:t>
      </w:r>
      <w:r w:rsidR="00471685">
        <w:t>Specification of Inputs and Output</w:t>
      </w:r>
    </w:p>
    <w:p w14:paraId="2D169989" w14:textId="5EFE3427" w:rsidR="006233BB" w:rsidRDefault="003D2DAC" w:rsidP="006233BB">
      <w:pPr>
        <w:jc w:val="both"/>
      </w:pPr>
      <w:r>
        <w:t>As noted in the literature review</w:t>
      </w:r>
      <w:r w:rsidR="00375C13">
        <w:t xml:space="preserve">, </w:t>
      </w:r>
      <w:r w:rsidR="00533DCC">
        <w:t xml:space="preserve">to date most if not all studies on efficiency and productivity in the subject area have used a supply side measure as the stated </w:t>
      </w:r>
      <w:r w:rsidR="00375C13">
        <w:t>output</w:t>
      </w:r>
      <w:r w:rsidR="00533DCC">
        <w:t xml:space="preserve">, </w:t>
      </w:r>
      <w:r w:rsidR="00375C13">
        <w:t>specifically train kilometres.  Th</w:t>
      </w:r>
      <w:r w:rsidR="00533DCC">
        <w:t>is would seem to be entirely appropriate, as</w:t>
      </w:r>
      <w:r w:rsidR="00375C13">
        <w:t xml:space="preserve"> in most cases TOCs are contracted primarily to provide rail services, rather than carry passengers, hence train kilometres is consistent with that prime aim.  </w:t>
      </w:r>
      <w:r w:rsidR="00746F81">
        <w:t>A</w:t>
      </w:r>
      <w:r w:rsidR="00345C8E">
        <w:t>s a consequence</w:t>
      </w:r>
      <w:r w:rsidR="00746F81">
        <w:t>,</w:t>
      </w:r>
      <w:r w:rsidR="00345C8E">
        <w:t xml:space="preserve"> </w:t>
      </w:r>
      <w:r w:rsidR="00375C13">
        <w:t>profit maximisation occurs through sales/revenue maximisation</w:t>
      </w:r>
      <w:r w:rsidR="00E27182">
        <w:t xml:space="preserve">.  The </w:t>
      </w:r>
      <w:r w:rsidR="00375C13">
        <w:t xml:space="preserve">aim of the operator </w:t>
      </w:r>
      <w:r w:rsidR="00E27182">
        <w:t xml:space="preserve">therefore </w:t>
      </w:r>
      <w:r w:rsidR="00375C13">
        <w:t xml:space="preserve">will be to fill the available capacity in order to maximise operator revenue, as the marginal cost of carrying an extra passenger </w:t>
      </w:r>
      <w:r w:rsidR="00E8047D">
        <w:t>is</w:t>
      </w:r>
      <w:r w:rsidR="00375C13">
        <w:t xml:space="preserve"> minimal.  </w:t>
      </w:r>
      <w:r w:rsidR="00D166E7">
        <w:t>Use of the measure</w:t>
      </w:r>
      <w:r w:rsidR="006233BB">
        <w:t xml:space="preserve"> also provides consistency with previous studies into British passenger rail productivity.</w:t>
      </w:r>
    </w:p>
    <w:p w14:paraId="570CE825" w14:textId="4423AC13" w:rsidR="00272998" w:rsidRDefault="00272998" w:rsidP="003D2C33">
      <w:pPr>
        <w:jc w:val="both"/>
      </w:pPr>
      <w:r>
        <w:t xml:space="preserve">The inputs used </w:t>
      </w:r>
      <w:r w:rsidR="00D166E7">
        <w:t xml:space="preserve">in this study </w:t>
      </w:r>
      <w:r>
        <w:t xml:space="preserve">are labour (annual staff levels), tractive rolling stock (primarily the number of multiple units employed) and line length, as these are the </w:t>
      </w:r>
      <w:r w:rsidR="007F142B">
        <w:t>main</w:t>
      </w:r>
      <w:r>
        <w:t xml:space="preserve"> inputs into the production of rail services/rail passenger kilometres</w:t>
      </w:r>
      <w:r w:rsidR="00DA5276">
        <w:t xml:space="preserve"> – in terms of costs, these</w:t>
      </w:r>
      <w:r w:rsidR="007F142B">
        <w:t xml:space="preserve"> reflect around 80% of </w:t>
      </w:r>
      <w:r w:rsidR="00D166E7">
        <w:t xml:space="preserve">TOC </w:t>
      </w:r>
      <w:r w:rsidR="007F142B">
        <w:t>operating costs</w:t>
      </w:r>
      <w:r>
        <w:t>.  Some debate exist</w:t>
      </w:r>
      <w:r w:rsidR="007F142B">
        <w:t>s</w:t>
      </w:r>
      <w:r>
        <w:t xml:space="preserve"> as to whether </w:t>
      </w:r>
      <w:r w:rsidR="007F142B">
        <w:t>in a rail network where operations and the permanent way are vertically separated, the infrastructure component</w:t>
      </w:r>
      <w:r>
        <w:t xml:space="preserve"> should be included</w:t>
      </w:r>
      <w:r w:rsidR="00252D54">
        <w:t xml:space="preserve">.  The basic argument is that </w:t>
      </w:r>
      <w:r w:rsidR="00921147">
        <w:t>the</w:t>
      </w:r>
      <w:r>
        <w:t xml:space="preserve"> input is out</w:t>
      </w:r>
      <w:r w:rsidR="00D166E7">
        <w:t xml:space="preserve"> </w:t>
      </w:r>
      <w:r>
        <w:t xml:space="preserve">with the direct control of </w:t>
      </w:r>
      <w:r w:rsidR="007F142B">
        <w:t xml:space="preserve">the </w:t>
      </w:r>
      <w:r w:rsidR="00252D54">
        <w:t xml:space="preserve">train </w:t>
      </w:r>
      <w:r w:rsidR="007F142B">
        <w:t>operator (see for example Smith and Wheat, 2014)</w:t>
      </w:r>
      <w:r>
        <w:t xml:space="preserve">.  In this case however, the assessment is not of individual </w:t>
      </w:r>
      <w:r w:rsidR="007F142B">
        <w:t>operator</w:t>
      </w:r>
      <w:r>
        <w:t xml:space="preserve"> productivity but rather of the whole system and structure put in place on privatisation</w:t>
      </w:r>
      <w:r w:rsidR="007F142B">
        <w:t xml:space="preserve">.  As such, the </w:t>
      </w:r>
      <w:r>
        <w:t xml:space="preserve">infrastructure </w:t>
      </w:r>
      <w:r w:rsidR="007F142B">
        <w:t xml:space="preserve">represents a key factor </w:t>
      </w:r>
      <w:r>
        <w:t xml:space="preserve">input and one that </w:t>
      </w:r>
      <w:r w:rsidR="007F142B">
        <w:t xml:space="preserve">on its own </w:t>
      </w:r>
      <w:r>
        <w:t xml:space="preserve">accounts for around 35% of TOC costs (plus is directly subsidised by </w:t>
      </w:r>
      <w:r w:rsidR="007F142B">
        <w:t xml:space="preserve">a further </w:t>
      </w:r>
      <w:r>
        <w:t>£2bn a year</w:t>
      </w:r>
      <w:r w:rsidR="007F142B">
        <w:t xml:space="preserve"> from the DfT</w:t>
      </w:r>
      <w:r w:rsidR="00702706">
        <w:t xml:space="preserve"> </w:t>
      </w:r>
      <w:r w:rsidR="007F142B">
        <w:t>R</w:t>
      </w:r>
      <w:r w:rsidR="00702706">
        <w:t xml:space="preserve">ail </w:t>
      </w:r>
      <w:r w:rsidR="007F142B">
        <w:t>G</w:t>
      </w:r>
      <w:r w:rsidR="00702706">
        <w:t>roup</w:t>
      </w:r>
      <w:r>
        <w:t>)</w:t>
      </w:r>
      <w:r w:rsidR="007F142B">
        <w:t xml:space="preserve">.  For the purposes of this research therefore, </w:t>
      </w:r>
      <w:r>
        <w:t>it is included.</w:t>
      </w:r>
    </w:p>
    <w:p w14:paraId="2532C94E" w14:textId="3000647D" w:rsidR="00272998" w:rsidRDefault="00272998" w:rsidP="003D2C33">
      <w:pPr>
        <w:jc w:val="both"/>
      </w:pPr>
      <w:r>
        <w:t>All data was compiled from three main sources, the TAS Rail Industry Monitor (</w:t>
      </w:r>
      <w:r w:rsidR="00921147">
        <w:t xml:space="preserve">see for example </w:t>
      </w:r>
      <w:r>
        <w:t xml:space="preserve">TAS, 2017) for </w:t>
      </w:r>
      <w:r w:rsidR="007F142B">
        <w:t xml:space="preserve">the </w:t>
      </w:r>
      <w:r>
        <w:t>annual financial figures and some operational statistics and annual staff figures for each TOC, the Office of Road and Rail Regulation (see for example ORR, 201</w:t>
      </w:r>
      <w:r w:rsidR="00C9142D">
        <w:t>7</w:t>
      </w:r>
      <w:r>
        <w:t xml:space="preserve">) to obtain a full set of operational statistics and finally through internet searches to obtain rolling stock figures for </w:t>
      </w:r>
      <w:r w:rsidR="00702706">
        <w:t xml:space="preserve">throughout </w:t>
      </w:r>
      <w:r>
        <w:t xml:space="preserve">the </w:t>
      </w:r>
      <w:r w:rsidR="00702706">
        <w:t>whole</w:t>
      </w:r>
      <w:r>
        <w:t xml:space="preserve"> period</w:t>
      </w:r>
      <w:r w:rsidR="00702706">
        <w:t xml:space="preserve"> reviewed</w:t>
      </w:r>
      <w:r>
        <w:t xml:space="preserve">.  </w:t>
      </w:r>
    </w:p>
    <w:p w14:paraId="69260FCE" w14:textId="77777777" w:rsidR="0037096F" w:rsidRDefault="00272998" w:rsidP="003D2C33">
      <w:pPr>
        <w:jc w:val="both"/>
      </w:pPr>
      <w:r>
        <w:t xml:space="preserve">One further </w:t>
      </w:r>
      <w:r w:rsidR="00576632">
        <w:t>issue</w:t>
      </w:r>
      <w:r>
        <w:t xml:space="preserve"> </w:t>
      </w:r>
      <w:r w:rsidR="00A822C9">
        <w:t xml:space="preserve">to </w:t>
      </w:r>
      <w:r w:rsidR="00702706">
        <w:t>consider</w:t>
      </w:r>
      <w:r w:rsidR="00A822C9">
        <w:t xml:space="preserve"> </w:t>
      </w:r>
      <w:r>
        <w:t xml:space="preserve">is that </w:t>
      </w:r>
      <w:r w:rsidR="00702706">
        <w:t xml:space="preserve">since privatisation, </w:t>
      </w:r>
      <w:r>
        <w:t xml:space="preserve">there </w:t>
      </w:r>
      <w:r w:rsidR="00702706">
        <w:t>have been</w:t>
      </w:r>
      <w:r>
        <w:t xml:space="preserve"> a number of important changes to the franchise map</w:t>
      </w:r>
      <w:r w:rsidR="006A1048">
        <w:t>.  M</w:t>
      </w:r>
      <w:r>
        <w:t>ost notabl</w:t>
      </w:r>
      <w:r w:rsidR="006A1048">
        <w:t>y, of</w:t>
      </w:r>
      <w:r w:rsidR="00702706">
        <w:t xml:space="preserve"> </w:t>
      </w:r>
      <w:r>
        <w:t xml:space="preserve">the 25 </w:t>
      </w:r>
      <w:r w:rsidR="00702706">
        <w:t>initial</w:t>
      </w:r>
      <w:r>
        <w:t xml:space="preserve"> franchises seven ha</w:t>
      </w:r>
      <w:r w:rsidR="00702706">
        <w:t>ve</w:t>
      </w:r>
      <w:r>
        <w:t xml:space="preserve"> been </w:t>
      </w:r>
      <w:r w:rsidR="001575D0">
        <w:t xml:space="preserve">either partially or fully </w:t>
      </w:r>
      <w:r>
        <w:t xml:space="preserve">absorbed into other franchises, and one new franchise established in 2004 (Transpennine Express).  </w:t>
      </w:r>
      <w:r w:rsidR="00576632">
        <w:t>This results in an unbalanced panel data set</w:t>
      </w:r>
      <w:r w:rsidR="0077613F">
        <w:t xml:space="preserve">, </w:t>
      </w:r>
      <w:r w:rsidR="001575D0">
        <w:t>hence</w:t>
      </w:r>
      <w:r w:rsidR="0077613F">
        <w:t xml:space="preserve"> the DEA based MPI had to be estimated over multiple periods rather than in </w:t>
      </w:r>
      <w:r w:rsidR="001575D0">
        <w:t>one</w:t>
      </w:r>
      <w:r w:rsidR="0077613F">
        <w:t xml:space="preserve"> single estimation.  </w:t>
      </w:r>
      <w:r w:rsidR="0037096F">
        <w:t>Whilst regulatory driven, such changes in operational areas are not uncommon and in many respects should be considered to be the norm in any long run productivity assessment.</w:t>
      </w:r>
    </w:p>
    <w:p w14:paraId="4FCA7AE1" w14:textId="77777777" w:rsidR="00471685" w:rsidRDefault="00471685" w:rsidP="003D2C33">
      <w:pPr>
        <w:jc w:val="both"/>
      </w:pPr>
    </w:p>
    <w:p w14:paraId="6398DABF" w14:textId="29DDF022" w:rsidR="002E6018" w:rsidRPr="002E6018" w:rsidRDefault="003448F9" w:rsidP="002E6018">
      <w:pPr>
        <w:keepNext/>
        <w:keepLines/>
        <w:spacing w:before="40" w:after="0"/>
        <w:outlineLvl w:val="1"/>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 xml:space="preserve">5. </w:t>
      </w:r>
      <w:r w:rsidR="002E6018" w:rsidRPr="002E6018">
        <w:rPr>
          <w:rFonts w:asciiTheme="majorHAnsi" w:eastAsiaTheme="majorEastAsia" w:hAnsiTheme="majorHAnsi" w:cstheme="majorBidi"/>
          <w:color w:val="365F91" w:themeColor="accent1" w:themeShade="BF"/>
          <w:sz w:val="26"/>
          <w:szCs w:val="26"/>
        </w:rPr>
        <w:t>Conceptual Considerations and Approaches to Malmquist Productivity Assessment</w:t>
      </w:r>
    </w:p>
    <w:p w14:paraId="7A0CB916" w14:textId="327FB0F1" w:rsidR="002E6018" w:rsidRPr="002E6018" w:rsidRDefault="002E6018" w:rsidP="002E6018">
      <w:r w:rsidRPr="002E6018">
        <w:t xml:space="preserve">Before examining the available methods for estimating total factor productivity, some important conceptual issues with TFP assessment are briefly considered, in particular the issue of </w:t>
      </w:r>
      <w:r w:rsidR="00D635AE">
        <w:t>adverse</w:t>
      </w:r>
      <w:r w:rsidRPr="002E6018">
        <w:t xml:space="preserve"> technical change and the relationship between technical and efficiency change.</w:t>
      </w:r>
    </w:p>
    <w:p w14:paraId="552569D1" w14:textId="0A56854E" w:rsidR="002E6018" w:rsidRPr="002E6018" w:rsidRDefault="002E6018" w:rsidP="002E6018">
      <w:r w:rsidRPr="002E6018">
        <w:t xml:space="preserve">Most, if not all, TFP studies find periods of negative technical change, however the implications of this or why this occurs are seldom if ever discussed.  </w:t>
      </w:r>
      <w:r w:rsidR="00D635AE">
        <w:t xml:space="preserve">It does nevertheless </w:t>
      </w:r>
      <w:r w:rsidRPr="002E6018">
        <w:t>raise</w:t>
      </w:r>
      <w:r w:rsidR="00D635AE">
        <w:t xml:space="preserve"> the</w:t>
      </w:r>
      <w:r w:rsidRPr="002E6018">
        <w:t xml:space="preserve"> question with regard to what this actually represents?  At one level, technical change is about the bounds of the production frontier, or </w:t>
      </w:r>
      <w:r w:rsidR="00D166E7">
        <w:t>at the macro level</w:t>
      </w:r>
      <w:r w:rsidRPr="002E6018">
        <w:t xml:space="preserve"> the bounds of the production possibility curve.  </w:t>
      </w:r>
      <w:r w:rsidR="00690A7E">
        <w:t>O</w:t>
      </w:r>
      <w:r w:rsidRPr="002E6018">
        <w:t>nce production knowledge</w:t>
      </w:r>
      <w:r w:rsidR="007E37B9">
        <w:t>/technology</w:t>
      </w:r>
      <w:r w:rsidRPr="002E6018">
        <w:t xml:space="preserve"> is advanced, then it cannot be undone, TC therefore ‘should’ always be equal to or above one.  There are cases however where technical change can become negative, and this case study has one very clear example.  The increase of regulatory operating controls can reduce the production possibility set, hence creating adverse technical change.  Any similar measures which affect</w:t>
      </w:r>
      <w:r w:rsidR="00C9142D">
        <w:t>s</w:t>
      </w:r>
      <w:r w:rsidRPr="002E6018">
        <w:t xml:space="preserve"> operational performance will have such an effect</w:t>
      </w:r>
      <w:r w:rsidR="001E4B8E">
        <w:t>, such as the aforementioned network wide speed restrictions that resulted from the Hatfield accident</w:t>
      </w:r>
      <w:r w:rsidRPr="002E6018">
        <w:t xml:space="preserve">.  </w:t>
      </w:r>
      <w:r w:rsidR="00D92BCC">
        <w:t>A</w:t>
      </w:r>
      <w:r w:rsidRPr="002E6018">
        <w:t xml:space="preserve"> second case is where there is major structural change, normally created by a </w:t>
      </w:r>
      <w:r w:rsidR="007E37B9">
        <w:t>significant</w:t>
      </w:r>
      <w:r w:rsidRPr="002E6018">
        <w:t xml:space="preserve"> change in </w:t>
      </w:r>
      <w:r w:rsidR="007E37B9">
        <w:t>demand conditions</w:t>
      </w:r>
      <w:r w:rsidRPr="002E6018">
        <w:t xml:space="preserve">.  Julien et al (2017) </w:t>
      </w:r>
      <w:r w:rsidR="00D166E7">
        <w:t>f</w:t>
      </w:r>
      <w:r w:rsidR="00D166E7" w:rsidRPr="002E6018">
        <w:t xml:space="preserve">or example </w:t>
      </w:r>
      <w:r w:rsidRPr="002E6018">
        <w:t xml:space="preserve">in a TFP assessment of top, Caribbean and </w:t>
      </w:r>
      <w:r w:rsidR="007E37B9">
        <w:t>Small Island Developing States (</w:t>
      </w:r>
      <w:r w:rsidRPr="002E6018">
        <w:t>SIDS</w:t>
      </w:r>
      <w:r w:rsidR="007E37B9">
        <w:t>)</w:t>
      </w:r>
      <w:r w:rsidRPr="002E6018">
        <w:t xml:space="preserve"> container ports found fairly large deteriorations in technical change following the economic crash of 2008/9.  The impact of such events can be to change the whole production economics of the industry to such an extent that the effect is to set it back by a number of years, hence adverse technical change.  One final possibility is where industries are in decline, hence falling investment levels (due to falling returns) leads to sweating of the assets which leads to deterioration and declining productivity over time, which would be (or certainly should be) captured in declining technical change.  In all three cases however, such events and occurrences tend to be relatively rare hence in effect TC should generally be positive (and </w:t>
      </w:r>
      <w:r w:rsidR="00690A7E">
        <w:t xml:space="preserve">in annual terms, </w:t>
      </w:r>
      <w:r w:rsidRPr="002E6018">
        <w:t xml:space="preserve">small).   Furthermore, </w:t>
      </w:r>
      <w:r w:rsidR="00690A7E">
        <w:t>i</w:t>
      </w:r>
      <w:r w:rsidR="00690A7E" w:rsidRPr="002E6018">
        <w:t>ncreases in TC create technical inefficiencies (</w:t>
      </w:r>
      <w:r w:rsidR="00690A7E">
        <w:t>adverse</w:t>
      </w:r>
      <w:r w:rsidR="00690A7E" w:rsidRPr="002E6018">
        <w:t xml:space="preserve"> EC) as best practice is advanced. </w:t>
      </w:r>
      <w:r w:rsidR="00690A7E">
        <w:t xml:space="preserve"> </w:t>
      </w:r>
      <w:r w:rsidR="00D635AE">
        <w:t xml:space="preserve">Subsequent EC driven TFP gain therefore is simply eradicating the inefficiency created by technical progress. </w:t>
      </w:r>
      <w:r w:rsidRPr="002E6018">
        <w:t xml:space="preserve">Not only </w:t>
      </w:r>
      <w:r w:rsidR="00D166E7">
        <w:t>therefore should TC be positive</w:t>
      </w:r>
      <w:r w:rsidRPr="002E6018">
        <w:t xml:space="preserve">, but </w:t>
      </w:r>
      <w:r w:rsidR="00D92BCC">
        <w:t>over the medium and longer terms</w:t>
      </w:r>
      <w:r w:rsidR="00690A7E">
        <w:t xml:space="preserve"> it should be </w:t>
      </w:r>
      <w:r w:rsidRPr="002E6018">
        <w:t>the sole, or certainly by far the</w:t>
      </w:r>
      <w:r w:rsidR="007E37B9">
        <w:t xml:space="preserve"> main, cause of TFP improvement</w:t>
      </w:r>
      <w:r w:rsidRPr="002E6018">
        <w:t>.</w:t>
      </w:r>
    </w:p>
    <w:p w14:paraId="17595543" w14:textId="77777777" w:rsidR="002E6018" w:rsidRPr="002E6018" w:rsidRDefault="002E6018" w:rsidP="002E6018">
      <w:r w:rsidRPr="002E6018">
        <w:t>In terms of approaches to TFP assessment, the standard Malmquist index as put forward by F</w:t>
      </w:r>
      <w:r w:rsidRPr="002E6018">
        <w:rPr>
          <w:rFonts w:cstheme="minorHAnsi"/>
        </w:rPr>
        <w:t>ä</w:t>
      </w:r>
      <w:r w:rsidRPr="002E6018">
        <w:t>re et al (1994) is expressed as:</w:t>
      </w:r>
    </w:p>
    <w:p w14:paraId="5928B91D" w14:textId="77777777" w:rsidR="002E6018" w:rsidRPr="002E6018" w:rsidRDefault="002E6018" w:rsidP="002E6018">
      <w:pPr>
        <w:tabs>
          <w:tab w:val="left" w:pos="1276"/>
          <w:tab w:val="right" w:pos="8789"/>
        </w:tabs>
      </w:pPr>
      <w:r w:rsidRPr="002E6018">
        <w:tab/>
      </w:r>
      <m:oMath>
        <m:r>
          <w:rPr>
            <w:rFonts w:ascii="Cambria Math" w:hAnsi="Cambria Math"/>
          </w:rPr>
          <m:t>TFP</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s</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s</m:t>
                </m:r>
              </m:sup>
            </m:sSup>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s</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t</m:t>
                        </m:r>
                      </m:sup>
                    </m:sSup>
                    <m:d>
                      <m:dPr>
                        <m:ctrlPr>
                          <w:rPr>
                            <w:rFonts w:ascii="Cambria Math" w:hAnsi="Cambria Math"/>
                            <w:i/>
                          </w:rPr>
                        </m:ctrlPr>
                      </m:dPr>
                      <m:e>
                        <m:sSup>
                          <m:sSupPr>
                            <m:ctrlPr>
                              <w:rPr>
                                <w:rFonts w:ascii="Cambria Math" w:hAnsi="Cambria Math"/>
                                <w:i/>
                              </w:rPr>
                            </m:ctrlPr>
                          </m:sSupPr>
                          <m:e>
                            <m:r>
                              <w:rPr>
                                <w:rFonts w:ascii="Cambria Math" w:hAnsi="Cambria Math"/>
                              </w:rPr>
                              <m:t>q</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m:t>
                            </m:r>
                          </m:sup>
                        </m:sSup>
                      </m:e>
                    </m:d>
                  </m:num>
                  <m:den>
                    <m:sSup>
                      <m:sSupPr>
                        <m:ctrlPr>
                          <w:rPr>
                            <w:rFonts w:ascii="Cambria Math" w:hAnsi="Cambria Math"/>
                            <w:i/>
                          </w:rPr>
                        </m:ctrlPr>
                      </m:sSupPr>
                      <m:e>
                        <m:r>
                          <w:rPr>
                            <w:rFonts w:ascii="Cambria Math" w:hAnsi="Cambria Math"/>
                          </w:rPr>
                          <m:t>d</m:t>
                        </m:r>
                      </m:e>
                      <m:sup>
                        <m:r>
                          <w:rPr>
                            <w:rFonts w:ascii="Cambria Math" w:hAnsi="Cambria Math"/>
                          </w:rPr>
                          <m:t>s</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s</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s</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t</m:t>
                        </m:r>
                      </m:sup>
                    </m:sSup>
                    <m:d>
                      <m:dPr>
                        <m:ctrlPr>
                          <w:rPr>
                            <w:rFonts w:ascii="Cambria Math" w:hAnsi="Cambria Math"/>
                            <w:i/>
                          </w:rPr>
                        </m:ctrlPr>
                      </m:dPr>
                      <m:e>
                        <m:sSup>
                          <m:sSupPr>
                            <m:ctrlPr>
                              <w:rPr>
                                <w:rFonts w:ascii="Cambria Math" w:hAnsi="Cambria Math"/>
                                <w:i/>
                              </w:rPr>
                            </m:ctrlPr>
                          </m:sSupPr>
                          <m:e>
                            <m:r>
                              <w:rPr>
                                <w:rFonts w:ascii="Cambria Math" w:hAnsi="Cambria Math"/>
                              </w:rPr>
                              <m:t>q</m:t>
                            </m:r>
                          </m:e>
                          <m:sup>
                            <m:r>
                              <w:rPr>
                                <w:rFonts w:ascii="Cambria Math" w:hAnsi="Cambria Math"/>
                              </w:rPr>
                              <m:t>s</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s</m:t>
                            </m:r>
                          </m:sup>
                        </m:sSup>
                      </m:e>
                    </m:d>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w:r w:rsidRPr="002E6018">
        <w:tab/>
        <w:t>[1a]</w:t>
      </w:r>
    </w:p>
    <w:p w14:paraId="0A527C35" w14:textId="421CC8A9" w:rsidR="002E6018" w:rsidRPr="002E6018" w:rsidRDefault="002E6018" w:rsidP="002E6018">
      <w:r w:rsidRPr="002E6018">
        <w:t>Which as stated divides total factor productivity into efficiency change (EC) and technical change (TC):</w:t>
      </w:r>
    </w:p>
    <w:p w14:paraId="1973BB99" w14:textId="77777777" w:rsidR="002E6018" w:rsidRPr="002E6018" w:rsidRDefault="002E6018" w:rsidP="002E6018">
      <w:pPr>
        <w:tabs>
          <w:tab w:val="left" w:pos="1276"/>
          <w:tab w:val="right" w:pos="8789"/>
        </w:tabs>
      </w:pPr>
      <w:r w:rsidRPr="002E6018">
        <w:tab/>
      </w:r>
      <m:oMath>
        <m:r>
          <w:rPr>
            <w:rFonts w:ascii="Cambria Math" w:hAnsi="Cambria Math"/>
          </w:rPr>
          <m:t>TFP</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s</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s</m:t>
                </m:r>
              </m:sup>
            </m:sSup>
          </m:e>
        </m:d>
        <m:r>
          <w:rPr>
            <w:rFonts w:ascii="Cambria Math" w:hAnsi="Cambria Math"/>
          </w:rPr>
          <m:t>=</m:t>
        </m:r>
        <m:sSup>
          <m:sSupPr>
            <m:ctrlPr>
              <w:rPr>
                <w:rFonts w:ascii="Cambria Math" w:hAnsi="Cambria Math"/>
                <w:i/>
              </w:rPr>
            </m:ctrlPr>
          </m:sSup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t</m:t>
                    </m:r>
                  </m:sup>
                </m:s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m:t>
                        </m:r>
                      </m:sub>
                    </m:sSub>
                  </m:e>
                </m:d>
              </m:num>
              <m:den>
                <m:sSup>
                  <m:sSupPr>
                    <m:ctrlPr>
                      <w:rPr>
                        <w:rFonts w:ascii="Cambria Math" w:hAnsi="Cambria Math"/>
                        <w:i/>
                      </w:rPr>
                    </m:ctrlPr>
                  </m:sSupPr>
                  <m:e>
                    <m:r>
                      <w:rPr>
                        <w:rFonts w:ascii="Cambria Math" w:hAnsi="Cambria Math"/>
                      </w:rPr>
                      <m:t>d</m:t>
                    </m:r>
                  </m:e>
                  <m:sup>
                    <m:r>
                      <w:rPr>
                        <w:rFonts w:ascii="Cambria Math" w:hAnsi="Cambria Math"/>
                      </w:rPr>
                      <m:t>s</m:t>
                    </m:r>
                  </m:sup>
                </m:s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sSub>
                      <m:sSubPr>
                        <m:ctrlPr>
                          <w:rPr>
                            <w:rFonts w:ascii="Cambria Math" w:hAnsi="Cambria Math"/>
                            <w:i/>
                          </w:rPr>
                        </m:ctrlPr>
                      </m:sSubPr>
                      <m:e>
                        <m:r>
                          <w:rPr>
                            <w:rFonts w:ascii="Cambria Math" w:hAnsi="Cambria Math"/>
                          </w:rPr>
                          <m:t>x</m:t>
                        </m:r>
                      </m:e>
                      <m:sub>
                        <m:r>
                          <w:rPr>
                            <w:rFonts w:ascii="Cambria Math" w:hAnsi="Cambria Math"/>
                          </w:rPr>
                          <m:t>s</m:t>
                        </m:r>
                      </m:sub>
                    </m:sSub>
                  </m:e>
                </m:d>
              </m:den>
            </m:f>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t</m:t>
                        </m:r>
                      </m:sup>
                    </m:s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e>
                    </m:d>
                  </m:num>
                  <m:den>
                    <m:sSup>
                      <m:sSupPr>
                        <m:ctrlPr>
                          <w:rPr>
                            <w:rFonts w:ascii="Cambria Math" w:hAnsi="Cambria Math"/>
                            <w:i/>
                          </w:rPr>
                        </m:ctrlPr>
                      </m:sSupPr>
                      <m:e>
                        <m:r>
                          <w:rPr>
                            <w:rFonts w:ascii="Cambria Math" w:hAnsi="Cambria Math"/>
                          </w:rPr>
                          <m:t>d</m:t>
                        </m:r>
                      </m:e>
                      <m:sup>
                        <m:r>
                          <w:rPr>
                            <w:rFonts w:ascii="Cambria Math" w:hAnsi="Cambria Math"/>
                          </w:rPr>
                          <m:t>s</m:t>
                        </m:r>
                      </m:sup>
                    </m:s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t</m:t>
                            </m:r>
                          </m:sub>
                        </m:sSub>
                      </m:e>
                    </m:d>
                  </m:den>
                </m:f>
                <m:r>
                  <w:rPr>
                    <w:rFonts w:ascii="Cambria Math" w:hAnsi="Cambria Math"/>
                  </w:rPr>
                  <m:t>x</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t</m:t>
                        </m:r>
                      </m:sup>
                    </m:s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e>
                    </m:d>
                  </m:num>
                  <m:den>
                    <m:sSup>
                      <m:sSupPr>
                        <m:ctrlPr>
                          <w:rPr>
                            <w:rFonts w:ascii="Cambria Math" w:hAnsi="Cambria Math"/>
                            <w:i/>
                          </w:rPr>
                        </m:ctrlPr>
                      </m:sSupPr>
                      <m:e>
                        <m:r>
                          <w:rPr>
                            <w:rFonts w:ascii="Cambria Math" w:hAnsi="Cambria Math"/>
                          </w:rPr>
                          <m:t>d</m:t>
                        </m:r>
                      </m:e>
                      <m:sup>
                        <m:r>
                          <w:rPr>
                            <w:rFonts w:ascii="Cambria Math" w:hAnsi="Cambria Math"/>
                          </w:rPr>
                          <m:t>s</m:t>
                        </m:r>
                      </m:sup>
                    </m:s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sSub>
                          <m:sSubPr>
                            <m:ctrlPr>
                              <w:rPr>
                                <w:rFonts w:ascii="Cambria Math" w:hAnsi="Cambria Math"/>
                                <w:i/>
                              </w:rPr>
                            </m:ctrlPr>
                          </m:sSubPr>
                          <m:e>
                            <m:r>
                              <w:rPr>
                                <w:rFonts w:ascii="Cambria Math" w:hAnsi="Cambria Math"/>
                              </w:rPr>
                              <m:t>x</m:t>
                            </m:r>
                          </m:e>
                          <m:sub>
                            <m:r>
                              <w:rPr>
                                <w:rFonts w:ascii="Cambria Math" w:hAnsi="Cambria Math"/>
                              </w:rPr>
                              <m:t>s</m:t>
                            </m:r>
                          </m:sub>
                        </m:sSub>
                      </m:e>
                    </m:d>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w:r w:rsidRPr="002E6018">
        <w:tab/>
        <w:t>[1b]</w:t>
      </w:r>
    </w:p>
    <w:p w14:paraId="07F094DB" w14:textId="56F9E547" w:rsidR="002E6018" w:rsidRDefault="002E6018" w:rsidP="002E6018">
      <w:r w:rsidRPr="002E6018">
        <w:t xml:space="preserve">Conceptually, efficiency change is the change in the relative production position of the firm to the efficiency frontier between the time periods under review, normally consecutive years, and hence </w:t>
      </w:r>
      <w:r w:rsidR="005E1DC8">
        <w:t xml:space="preserve">where found to be positive </w:t>
      </w:r>
      <w:r w:rsidRPr="002E6018">
        <w:t>is effectively efficiency catch up</w:t>
      </w:r>
      <w:r w:rsidR="005E1DC8">
        <w:t>, but will be negative during strong periods of frontier shift (i.e. technical change)</w:t>
      </w:r>
      <w:r w:rsidRPr="002E6018">
        <w:t xml:space="preserve">.  </w:t>
      </w:r>
      <w:r w:rsidR="005E1DC8">
        <w:t>Whilst at</w:t>
      </w:r>
      <w:r w:rsidRPr="002E6018">
        <w:t xml:space="preserve"> the general level</w:t>
      </w:r>
      <w:r w:rsidR="005E1DC8">
        <w:t xml:space="preserve"> therefore</w:t>
      </w:r>
      <w:r w:rsidRPr="002E6018">
        <w:t xml:space="preserve">, technical change is the shift in the production frontier between the two time periods, </w:t>
      </w:r>
      <w:r w:rsidR="005E1DC8">
        <w:t>it</w:t>
      </w:r>
      <w:r w:rsidRPr="002E6018">
        <w:t xml:space="preserve"> is harder to define at the firm level.  Generally speaking, for the firm TC occurs where its production position has moved beyond the previous production frontier (see figure 1) or where the shift in its production position reduces the gap between the two frontiers.  In order to assess the MPI, under the data envelopment approach (DEA), four formal measures of efficiency are required.  These consist of assessing the current year production position to the current frontier, the previous year production position to the previous frontier, the current year production position to the previous frontier and finally the previous year production position to the current frontier.  All of these measurements are illustrated in Figure </w:t>
      </w:r>
      <w:r w:rsidR="003D0E85">
        <w:t>1</w:t>
      </w:r>
      <w:r w:rsidRPr="002E6018">
        <w:t>.</w:t>
      </w:r>
    </w:p>
    <w:p w14:paraId="178B2EFE" w14:textId="77777777" w:rsidR="00A822C9" w:rsidRDefault="00A822C9" w:rsidP="002E6018">
      <w:r>
        <w:br/>
      </w:r>
    </w:p>
    <w:p w14:paraId="028A147B" w14:textId="4C38833B" w:rsidR="00D92BCC" w:rsidRPr="002E6018" w:rsidRDefault="00A822C9" w:rsidP="002E6018">
      <w:r>
        <w:br w:type="page"/>
      </w:r>
      <w:r w:rsidR="00D92BCC">
        <w:t xml:space="preserve">Figure </w:t>
      </w:r>
      <w:r w:rsidR="003D0E85">
        <w:t>1</w:t>
      </w:r>
      <w:r w:rsidR="00D92BCC">
        <w:t>: TFP assessment under the DEA efficiency estimation method</w:t>
      </w:r>
    </w:p>
    <w:p w14:paraId="338B58D8" w14:textId="77777777" w:rsidR="002E6018" w:rsidRPr="002E6018" w:rsidRDefault="002E6018" w:rsidP="002E6018">
      <w:r w:rsidRPr="002E6018">
        <w:rPr>
          <w:noProof/>
          <w:lang w:eastAsia="en-GB"/>
        </w:rPr>
        <w:drawing>
          <wp:inline distT="0" distB="0" distL="0" distR="0" wp14:anchorId="3DA22496" wp14:editId="106275F9">
            <wp:extent cx="3124200" cy="28787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24200" cy="2878727"/>
                    </a:xfrm>
                    <a:prstGeom prst="rect">
                      <a:avLst/>
                    </a:prstGeom>
                    <a:noFill/>
                    <a:ln w="9525">
                      <a:noFill/>
                      <a:miter lim="800000"/>
                      <a:headEnd/>
                      <a:tailEnd/>
                    </a:ln>
                  </pic:spPr>
                </pic:pic>
              </a:graphicData>
            </a:graphic>
          </wp:inline>
        </w:drawing>
      </w:r>
    </w:p>
    <w:p w14:paraId="03DC34A8" w14:textId="70725D9D" w:rsidR="002E6018" w:rsidRPr="002E6018" w:rsidRDefault="002E6018" w:rsidP="002E6018">
      <w:r w:rsidRPr="002E6018">
        <w:t>Source: Adapted from Coelli et al (199</w:t>
      </w:r>
      <w:r w:rsidR="00844253">
        <w:t>8</w:t>
      </w:r>
      <w:r w:rsidRPr="002E6018">
        <w:t>)</w:t>
      </w:r>
    </w:p>
    <w:p w14:paraId="31DCD0DF" w14:textId="77777777" w:rsidR="002E6018" w:rsidRPr="002E6018" w:rsidRDefault="002E6018" w:rsidP="002E6018">
      <w:r w:rsidRPr="002E6018">
        <w:t>In figure 1, efficiency assessment is based on an assumption of output maximisation, hence the productivity problem to be solved is to produce as much output from a given set of inputs.  The example firm P has two production positions, point P</w:t>
      </w:r>
      <w:r w:rsidRPr="002E6018">
        <w:rPr>
          <w:vertAlign w:val="subscript"/>
        </w:rPr>
        <w:t>s</w:t>
      </w:r>
      <w:r w:rsidRPr="002E6018">
        <w:t xml:space="preserve"> in time period s and production point P</w:t>
      </w:r>
      <w:r w:rsidRPr="002E6018">
        <w:rPr>
          <w:vertAlign w:val="subscript"/>
        </w:rPr>
        <w:t>t</w:t>
      </w:r>
      <w:r w:rsidRPr="002E6018">
        <w:t xml:space="preserve"> in the following time period, year t.  Hence, in practical terms, from equation 1b efficiency change is assessed by:</w:t>
      </w:r>
    </w:p>
    <w:p w14:paraId="7F45CB8E" w14:textId="77777777" w:rsidR="002E6018" w:rsidRPr="002E6018" w:rsidRDefault="002E6018" w:rsidP="002E6018">
      <w:pPr>
        <w:tabs>
          <w:tab w:val="left" w:pos="2835"/>
          <w:tab w:val="right" w:pos="8931"/>
        </w:tabs>
      </w:pPr>
      <w:r w:rsidRPr="002E6018">
        <w:rPr>
          <w:rFonts w:eastAsiaTheme="minorEastAsia"/>
        </w:rPr>
        <w:tab/>
      </w:r>
      <m:oMath>
        <m:r>
          <w:rPr>
            <w:rFonts w:ascii="Cambria Math" w:hAnsi="Cambria Math"/>
          </w:rPr>
          <m:t>EC=</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tFt</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sFs</m:t>
                    </m:r>
                  </m:sub>
                </m:sSub>
              </m:e>
            </m:d>
          </m:den>
        </m:f>
      </m:oMath>
      <w:r w:rsidRPr="002E6018">
        <w:t xml:space="preserve"> </w:t>
      </w:r>
      <w:r w:rsidRPr="002E6018">
        <w:tab/>
        <w:t xml:space="preserve">[2a] </w:t>
      </w:r>
    </w:p>
    <w:p w14:paraId="339F10E8" w14:textId="77777777" w:rsidR="002E6018" w:rsidRPr="002E6018" w:rsidRDefault="002E6018" w:rsidP="002E6018">
      <w:r w:rsidRPr="002E6018">
        <w:t>Consequently if efficiency is higher in year t than in s, this represents an efficiency gain and [2a] will produce a value greater than one.  Technical change is assessed by:</w:t>
      </w:r>
    </w:p>
    <w:p w14:paraId="785853BE" w14:textId="77777777" w:rsidR="002E6018" w:rsidRPr="002E6018" w:rsidRDefault="002E6018" w:rsidP="002E6018">
      <w:pPr>
        <w:tabs>
          <w:tab w:val="left" w:pos="2835"/>
          <w:tab w:val="right" w:pos="8931"/>
        </w:tabs>
      </w:pPr>
      <w:r w:rsidRPr="002E6018">
        <w:rPr>
          <w:rFonts w:eastAsiaTheme="minorEastAsia"/>
        </w:rPr>
        <w:tab/>
      </w:r>
      <m:oMath>
        <m:r>
          <w:rPr>
            <w:rFonts w:ascii="Cambria Math" w:eastAsiaTheme="minorEastAsia" w:hAnsi="Cambria Math"/>
          </w:rPr>
          <m:t>T</m:t>
        </m:r>
        <m:r>
          <w:rPr>
            <w:rFonts w:ascii="Cambria Math" w:hAnsi="Cambria Math"/>
          </w:rPr>
          <m:t xml:space="preserve">C=Geomean </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sFs</m:t>
                        </m:r>
                      </m:sub>
                    </m:sSub>
                  </m:num>
                  <m:den>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tFs</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tFt</m:t>
                        </m:r>
                      </m:sub>
                    </m:sSub>
                  </m:num>
                  <m:den>
                    <m:sSub>
                      <m:sSubPr>
                        <m:ctrlPr>
                          <w:rPr>
                            <w:rFonts w:ascii="Cambria Math" w:hAnsi="Cambria Math"/>
                            <w:i/>
                          </w:rPr>
                        </m:ctrlPr>
                      </m:sSubPr>
                      <m:e>
                        <m:r>
                          <w:rPr>
                            <w:rFonts w:ascii="Cambria Math" w:hAnsi="Cambria Math"/>
                          </w:rPr>
                          <m:t>P</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sFt</m:t>
                        </m:r>
                      </m:sub>
                    </m:sSub>
                  </m:den>
                </m:f>
              </m:e>
            </m:d>
          </m:e>
        </m:d>
      </m:oMath>
      <w:r w:rsidRPr="002E6018">
        <w:t xml:space="preserve"> </w:t>
      </w:r>
      <w:r w:rsidRPr="002E6018">
        <w:tab/>
        <w:t xml:space="preserve">[2b] </w:t>
      </w:r>
    </w:p>
    <w:p w14:paraId="6F919A74" w14:textId="3C10EB52" w:rsidR="002E6018" w:rsidRPr="002E6018" w:rsidRDefault="002E6018" w:rsidP="002E6018">
      <w:r w:rsidRPr="002E6018">
        <w:t xml:space="preserve">A positive technical change would take place if the firm’s production position in year t was found to be closer to the frontier in year s than the firm’s production position in year s, hence the </w:t>
      </w:r>
      <w:r w:rsidR="00D92BCC">
        <w:t xml:space="preserve">estimated </w:t>
      </w:r>
      <w:r w:rsidR="00690A7E">
        <w:t>‘</w:t>
      </w:r>
      <w:r w:rsidRPr="002E6018">
        <w:t>efficiency</w:t>
      </w:r>
      <w:r w:rsidR="00690A7E">
        <w:t>’</w:t>
      </w:r>
      <w:r w:rsidRPr="002E6018">
        <w:t xml:space="preserve"> value would be higher and thus produce a value </w:t>
      </w:r>
      <w:r w:rsidR="00D92BCC">
        <w:t xml:space="preserve">of TC of </w:t>
      </w:r>
      <w:r w:rsidRPr="002E6018">
        <w:t xml:space="preserve">greater than one.  The same applies for the second comparison against the frontier in year t, and </w:t>
      </w:r>
      <w:r w:rsidR="005F3A35">
        <w:t>an</w:t>
      </w:r>
      <w:r w:rsidRPr="002E6018">
        <w:t xml:space="preserve"> average (</w:t>
      </w:r>
      <w:r w:rsidR="005F3A35">
        <w:t xml:space="preserve">the </w:t>
      </w:r>
      <w:r w:rsidRPr="002E6018">
        <w:t>geometric mean) is taken of the two.</w:t>
      </w:r>
    </w:p>
    <w:p w14:paraId="3FDF4CDA" w14:textId="56DE1E74" w:rsidR="002E6018" w:rsidRPr="002E6018" w:rsidRDefault="002E6018" w:rsidP="002E6018">
      <w:r w:rsidRPr="002E6018">
        <w:t>In terms of the e</w:t>
      </w:r>
      <w:r w:rsidR="0036665C">
        <w:t xml:space="preserve">fficiency measures for the MPI, in theory these </w:t>
      </w:r>
      <w:r w:rsidRPr="002E6018">
        <w:t>can be generated from any efficiency assessment method</w:t>
      </w:r>
      <w:r w:rsidR="0036665C">
        <w:t xml:space="preserve">, however in practice </w:t>
      </w:r>
      <w:r w:rsidR="0036665C" w:rsidRPr="002E6018">
        <w:t>this is normally done using DEA</w:t>
      </w:r>
      <w:r w:rsidR="0036665C">
        <w:t>.  Furthermore, if an econometric approach is used following the same basic principles, namely a year by year efficiency assessment, this require</w:t>
      </w:r>
      <w:r w:rsidR="00EA08C7">
        <w:t>s</w:t>
      </w:r>
      <w:r w:rsidR="0036665C">
        <w:t xml:space="preserve"> a separate production function to be estimated for each individual year.  As a consequence, the </w:t>
      </w:r>
      <w:r w:rsidR="0036665C" w:rsidRPr="0036665C">
        <w:t xml:space="preserve">imposition of the assumption of CRS on the production </w:t>
      </w:r>
      <w:r w:rsidR="0036665C">
        <w:t>function</w:t>
      </w:r>
      <w:r w:rsidR="0036665C" w:rsidRPr="0036665C">
        <w:t xml:space="preserve"> results in the </w:t>
      </w:r>
      <w:r w:rsidR="0036665C">
        <w:t xml:space="preserve">input </w:t>
      </w:r>
      <w:r w:rsidR="0036665C" w:rsidRPr="0036665C">
        <w:t>parameter estimates ‘absorbing’ any technical change that occurs from one year to the next</w:t>
      </w:r>
      <w:r w:rsidR="0036665C">
        <w:t xml:space="preserve">.  It will therefore only </w:t>
      </w:r>
      <w:r w:rsidR="0036665C" w:rsidRPr="0036665C">
        <w:t>ever estimate efficiency change, and consequently not full TFP.</w:t>
      </w:r>
      <w:r w:rsidR="0036665C">
        <w:t xml:space="preserve">  </w:t>
      </w:r>
      <w:r w:rsidR="00EA08C7">
        <w:t>Under such approaches therefore, i</w:t>
      </w:r>
      <w:r w:rsidR="0036665C">
        <w:t xml:space="preserve">n order to derive a full TFP assessment the full panel needs to be </w:t>
      </w:r>
      <w:r w:rsidR="002A7E50">
        <w:t>employed</w:t>
      </w:r>
      <w:r w:rsidR="005E1DC8">
        <w:t>.  I</w:t>
      </w:r>
      <w:r w:rsidR="00EA08C7">
        <w:t>n th</w:t>
      </w:r>
      <w:r w:rsidR="005E1DC8">
        <w:t>e current</w:t>
      </w:r>
      <w:r w:rsidR="00EA08C7">
        <w:t xml:space="preserve"> context</w:t>
      </w:r>
      <w:r w:rsidR="005E1DC8">
        <w:t xml:space="preserve">, two approaches to econometric efficiency estimation are used </w:t>
      </w:r>
      <w:r w:rsidR="0036665C">
        <w:t>to complement the results of the DEA</w:t>
      </w:r>
      <w:r w:rsidR="005E1DC8">
        <w:t>:</w:t>
      </w:r>
    </w:p>
    <w:p w14:paraId="6F9C40C5" w14:textId="15D27C10" w:rsidR="002E6018" w:rsidRPr="002E6018" w:rsidRDefault="005E1DC8" w:rsidP="002E6018">
      <w:pPr>
        <w:numPr>
          <w:ilvl w:val="0"/>
          <w:numId w:val="2"/>
        </w:numPr>
        <w:contextualSpacing/>
      </w:pPr>
      <w:r>
        <w:t>a C</w:t>
      </w:r>
      <w:r w:rsidR="003448F9">
        <w:t xml:space="preserve">orrected </w:t>
      </w:r>
      <w:r>
        <w:t>O</w:t>
      </w:r>
      <w:r w:rsidR="003448F9">
        <w:t xml:space="preserve">rdinary </w:t>
      </w:r>
      <w:r>
        <w:t>L</w:t>
      </w:r>
      <w:r w:rsidR="003448F9">
        <w:t xml:space="preserve">east </w:t>
      </w:r>
      <w:r>
        <w:t>S</w:t>
      </w:r>
      <w:r w:rsidR="003448F9">
        <w:t>quares (</w:t>
      </w:r>
      <w:r w:rsidR="002E6018" w:rsidRPr="002E6018">
        <w:t>COLS</w:t>
      </w:r>
      <w:r w:rsidR="003448F9">
        <w:t>)</w:t>
      </w:r>
      <w:r w:rsidR="002E6018" w:rsidRPr="002E6018">
        <w:t xml:space="preserve"> full panel production frontier efficiency measurement</w:t>
      </w:r>
    </w:p>
    <w:p w14:paraId="586DB715" w14:textId="3AE264FE" w:rsidR="002E6018" w:rsidRPr="002E6018" w:rsidRDefault="005E1DC8" w:rsidP="002E6018">
      <w:pPr>
        <w:numPr>
          <w:ilvl w:val="0"/>
          <w:numId w:val="2"/>
        </w:numPr>
        <w:contextualSpacing/>
      </w:pPr>
      <w:r>
        <w:t>a S</w:t>
      </w:r>
      <w:r w:rsidR="003448F9">
        <w:t xml:space="preserve">tochastic </w:t>
      </w:r>
      <w:r>
        <w:t>F</w:t>
      </w:r>
      <w:r w:rsidR="003448F9">
        <w:t xml:space="preserve">rontier </w:t>
      </w:r>
      <w:r>
        <w:t>A</w:t>
      </w:r>
      <w:r w:rsidR="003448F9">
        <w:t>nalysis (SFA)</w:t>
      </w:r>
      <w:r w:rsidR="002E6018" w:rsidRPr="002E6018">
        <w:t xml:space="preserve"> full panel production frontier efficiency measurement</w:t>
      </w:r>
    </w:p>
    <w:p w14:paraId="0E35AB52" w14:textId="77777777" w:rsidR="0051116F" w:rsidRDefault="0051116F" w:rsidP="002E6018"/>
    <w:p w14:paraId="481C12DA" w14:textId="5A739954" w:rsidR="002E6018" w:rsidRDefault="004C569A" w:rsidP="002E6018">
      <w:r>
        <w:t>T</w:t>
      </w:r>
      <w:r w:rsidRPr="002E6018">
        <w:t>he principles behind the DEA approach have been covered above hence are not outline</w:t>
      </w:r>
      <w:r>
        <w:t>d</w:t>
      </w:r>
      <w:r w:rsidRPr="002E6018">
        <w:t xml:space="preserve"> further</w:t>
      </w:r>
      <w:r>
        <w:t xml:space="preserve">, </w:t>
      </w:r>
      <w:r w:rsidR="006D203F">
        <w:t>moreover</w:t>
      </w:r>
      <w:r w:rsidR="00E27182">
        <w:t xml:space="preserve"> </w:t>
      </w:r>
      <w:r>
        <w:t>these are</w:t>
      </w:r>
      <w:r w:rsidRPr="002E6018">
        <w:t xml:space="preserve"> </w:t>
      </w:r>
      <w:r w:rsidR="006D203F">
        <w:t>extensively</w:t>
      </w:r>
      <w:r w:rsidRPr="002E6018">
        <w:t xml:space="preserve"> </w:t>
      </w:r>
      <w:r w:rsidR="006D203F">
        <w:t>documented</w:t>
      </w:r>
      <w:r w:rsidRPr="002E6018">
        <w:t xml:space="preserve"> </w:t>
      </w:r>
      <w:r>
        <w:t>elsewhere</w:t>
      </w:r>
      <w:r w:rsidRPr="002E6018">
        <w:t xml:space="preserve"> (see for example Fare et al, 1994, Coelli et al 199</w:t>
      </w:r>
      <w:r>
        <w:t>8</w:t>
      </w:r>
      <w:r w:rsidRPr="002E6018">
        <w:t xml:space="preserve">).  </w:t>
      </w:r>
      <w:r>
        <w:t>As regards the econometric approaches, both use an estimate of an underlying production function from which to derive efficiency measures, differences arise in how the residual is used to produce the efficiency estimates</w:t>
      </w:r>
      <w:r w:rsidR="003448F9">
        <w:t xml:space="preserve">, and </w:t>
      </w:r>
      <w:r w:rsidR="006D203F">
        <w:t xml:space="preserve">hence </w:t>
      </w:r>
      <w:r w:rsidR="003448F9">
        <w:t>these are detailed below.</w:t>
      </w:r>
      <w:r w:rsidR="002E6018" w:rsidRPr="002E6018">
        <w:t xml:space="preserve"> </w:t>
      </w:r>
    </w:p>
    <w:p w14:paraId="3BFA2AE0" w14:textId="77777777" w:rsidR="0051116F" w:rsidRPr="002E6018" w:rsidRDefault="0051116F" w:rsidP="002E6018"/>
    <w:p w14:paraId="7FCC7368" w14:textId="425220EB" w:rsidR="002E6018" w:rsidRPr="002E6018" w:rsidRDefault="003448F9" w:rsidP="007E37B9">
      <w:pPr>
        <w:pStyle w:val="Heading3"/>
      </w:pPr>
      <w:r>
        <w:t xml:space="preserve">5.1 </w:t>
      </w:r>
      <w:r w:rsidR="002E6018" w:rsidRPr="002E6018">
        <w:t>COLS Full Panel Assessment</w:t>
      </w:r>
    </w:p>
    <w:p w14:paraId="61745617" w14:textId="30418713" w:rsidR="002E6018" w:rsidRPr="002E6018" w:rsidRDefault="002E6018" w:rsidP="002E6018">
      <w:r w:rsidRPr="002E6018">
        <w:t>Unlike the DEA based approach where TFP assessment is through a year-on-year comparison, under the COLS approach the whole time period is considered as a single entity.  In this example, the general form of the translog production function is used with time variables added:</w:t>
      </w:r>
    </w:p>
    <w:p w14:paraId="47178D31" w14:textId="77777777" w:rsidR="002E6018" w:rsidRPr="002E6018" w:rsidRDefault="002E6018" w:rsidP="002E6018">
      <w:pPr>
        <w:tabs>
          <w:tab w:val="right" w:pos="9072"/>
        </w:tabs>
        <w:rPr>
          <w:rFonts w:eastAsiaTheme="minorEastAsia"/>
        </w:rPr>
      </w:pPr>
      <m:oMathPara>
        <m:oMath>
          <m:r>
            <w:rPr>
              <w:rFonts w:ascii="Cambria Math" w:hAnsi="Cambria Math"/>
            </w:rPr>
            <m:t xml:space="preserve">Ln </m:t>
          </m:r>
          <m:sSub>
            <m:sSubPr>
              <m:ctrlPr>
                <w:rPr>
                  <w:rFonts w:ascii="Cambria Math" w:hAnsi="Cambria Math"/>
                  <w:i/>
                </w:rPr>
              </m:ctrlPr>
            </m:sSubPr>
            <m:e>
              <m:r>
                <w:rPr>
                  <w:rFonts w:ascii="Cambria Math" w:hAnsi="Cambria Math"/>
                </w:rPr>
                <m:t>TrKm</m:t>
              </m:r>
            </m:e>
            <m:sub>
              <m:r>
                <w:rPr>
                  <w:rFonts w:ascii="Cambria Math" w:hAnsi="Cambria Math"/>
                </w:rPr>
                <m:t>ik</m:t>
              </m:r>
            </m:sub>
          </m:sSub>
          <m:r>
            <w:rPr>
              <w:rFonts w:ascii="Cambria Math" w:hAnsi="Cambria Math"/>
            </w:rPr>
            <m:t>=a+</m:t>
          </m:r>
          <m:sSub>
            <m:sSubPr>
              <m:ctrlPr>
                <w:rPr>
                  <w:rFonts w:ascii="Cambria Math" w:hAnsi="Cambria Math"/>
                  <w:i/>
                </w:rPr>
              </m:ctrlPr>
            </m:sSubPr>
            <m:e>
              <m:r>
                <w:rPr>
                  <w:rFonts w:ascii="Cambria Math" w:hAnsi="Cambria Math"/>
                </w:rPr>
                <m:t>b</m:t>
              </m:r>
            </m:e>
            <m:sub>
              <m:r>
                <w:rPr>
                  <w:rFonts w:ascii="Cambria Math" w:hAnsi="Cambria Math"/>
                </w:rPr>
                <m:t>L</m:t>
              </m:r>
            </m:sub>
          </m:sSub>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LAB</m:t>
                  </m:r>
                </m:e>
                <m:sub>
                  <m:r>
                    <w:rPr>
                      <w:rFonts w:ascii="Cambria Math" w:hAnsi="Cambria Math"/>
                    </w:rPr>
                    <m:t>ik</m:t>
                  </m:r>
                </m:sub>
              </m:sSub>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R</m:t>
              </m:r>
            </m:sub>
          </m:sSub>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TRS</m:t>
                  </m:r>
                </m:e>
                <m:sub>
                  <m:r>
                    <w:rPr>
                      <w:rFonts w:ascii="Cambria Math" w:hAnsi="Cambria Math"/>
                    </w:rPr>
                    <m:t>ik</m:t>
                  </m:r>
                </m:sub>
              </m:sSub>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LNE</m:t>
                  </m:r>
                </m:e>
                <m:sub>
                  <m:r>
                    <w:rPr>
                      <w:rFonts w:ascii="Cambria Math" w:hAnsi="Cambria Math"/>
                    </w:rPr>
                    <m:t>ik</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LL</m:t>
              </m:r>
            </m:sub>
          </m:s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Ln</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LAB</m:t>
                  </m:r>
                </m:e>
                <m:sub>
                  <m:r>
                    <w:rPr>
                      <w:rFonts w:ascii="Cambria Math" w:hAnsi="Cambria Math"/>
                    </w:rPr>
                    <m:t>ik</m:t>
                  </m:r>
                </m:sub>
              </m:sSub>
              <m:r>
                <w:rPr>
                  <w:rFonts w:ascii="Cambria Math" w:hAnsi="Cambria Math"/>
                </w:rPr>
                <m: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RR</m:t>
              </m:r>
            </m:sub>
          </m:s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Ln</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TRS</m:t>
                  </m:r>
                </m:e>
                <m:sub>
                  <m:r>
                    <w:rPr>
                      <w:rFonts w:ascii="Cambria Math" w:hAnsi="Cambria Math"/>
                    </w:rPr>
                    <m:t>ik</m:t>
                  </m:r>
                </m:sub>
              </m:sSub>
              <m:r>
                <w:rPr>
                  <w:rFonts w:ascii="Cambria Math" w:hAnsi="Cambria Math"/>
                </w:rPr>
                <m: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NN</m:t>
              </m:r>
            </m:sub>
          </m:s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Ln</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LNE</m:t>
                  </m:r>
                </m:e>
                <m:sub>
                  <m:r>
                    <w:rPr>
                      <w:rFonts w:ascii="Cambria Math" w:hAnsi="Cambria Math"/>
                    </w:rPr>
                    <m:t>ik</m:t>
                  </m:r>
                </m:sub>
              </m:sSub>
              <m:r>
                <w:rPr>
                  <w:rFonts w:ascii="Cambria Math" w:hAnsi="Cambria Math"/>
                </w:rPr>
                <m: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LR</m:t>
              </m:r>
            </m:sub>
          </m:sSub>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LAB</m:t>
                  </m:r>
                </m:e>
                <m:sub>
                  <m:r>
                    <w:rPr>
                      <w:rFonts w:ascii="Cambria Math" w:hAnsi="Cambria Math"/>
                    </w:rPr>
                    <m:t>ik</m:t>
                  </m:r>
                </m:sub>
              </m:sSub>
            </m:e>
          </m:d>
          <m:r>
            <w:rPr>
              <w:rFonts w:ascii="Cambria Math" w:hAnsi="Cambria Math" w:cs="Cambria Math"/>
            </w:rPr>
            <m:t>L</m:t>
          </m:r>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TRS</m:t>
                  </m:r>
                </m:e>
                <m:sub>
                  <m:r>
                    <w:rPr>
                      <w:rFonts w:ascii="Cambria Math" w:hAnsi="Cambria Math"/>
                    </w:rPr>
                    <m:t>ik</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LN</m:t>
              </m:r>
            </m:sub>
          </m:sSub>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LAB</m:t>
                  </m:r>
                </m:e>
                <m:sub>
                  <m:r>
                    <w:rPr>
                      <w:rFonts w:ascii="Cambria Math" w:hAnsi="Cambria Math"/>
                    </w:rPr>
                    <m:t>ik</m:t>
                  </m:r>
                </m:sub>
              </m:sSub>
            </m:e>
          </m:d>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LNE</m:t>
                  </m:r>
                </m:e>
                <m:sub>
                  <m:r>
                    <w:rPr>
                      <w:rFonts w:ascii="Cambria Math" w:hAnsi="Cambria Math"/>
                    </w:rPr>
                    <m:t>ik</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RN</m:t>
              </m:r>
            </m:sub>
          </m:sSub>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TRS</m:t>
                  </m:r>
                </m:e>
                <m:sub>
                  <m:r>
                    <w:rPr>
                      <w:rFonts w:ascii="Cambria Math" w:hAnsi="Cambria Math"/>
                    </w:rPr>
                    <m:t>ik</m:t>
                  </m:r>
                </m:sub>
              </m:sSub>
            </m:e>
          </m:d>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LNE</m:t>
                  </m:r>
                </m:e>
                <m:sub>
                  <m:r>
                    <w:rPr>
                      <w:rFonts w:ascii="Cambria Math" w:hAnsi="Cambria Math"/>
                    </w:rPr>
                    <m:t>ik</m:t>
                  </m:r>
                </m:sub>
              </m:sSub>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m:t>
              </m:r>
            </m:sub>
          </m:sSub>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tt</m:t>
              </m:r>
            </m:sub>
          </m:sSub>
          <m:f>
            <m:fPr>
              <m:ctrlPr>
                <w:rPr>
                  <w:rFonts w:ascii="Cambria Math" w:hAnsi="Cambria Math"/>
                  <w:i/>
                </w:rPr>
              </m:ctrlPr>
            </m:fPr>
            <m:num>
              <m:r>
                <w:rPr>
                  <w:rFonts w:ascii="Cambria Math" w:hAnsi="Cambria Math"/>
                </w:rPr>
                <m:t>1</m:t>
              </m:r>
            </m:num>
            <m:den>
              <m:r>
                <w:rPr>
                  <w:rFonts w:ascii="Cambria Math" w:hAnsi="Cambria Math"/>
                </w:rPr>
                <m:t>2</m:t>
              </m:r>
            </m:den>
          </m:f>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tL</m:t>
              </m:r>
            </m:sub>
          </m:sSub>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LAB</m:t>
                  </m:r>
                </m:e>
                <m:sub>
                  <m:r>
                    <w:rPr>
                      <w:rFonts w:ascii="Cambria Math" w:hAnsi="Cambria Math"/>
                    </w:rPr>
                    <m:t>ik</m:t>
                  </m:r>
                </m:sub>
              </m:sSub>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tR</m:t>
              </m:r>
            </m:sub>
          </m:sSub>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TRS</m:t>
                  </m:r>
                </m:e>
                <m:sub>
                  <m:r>
                    <w:rPr>
                      <w:rFonts w:ascii="Cambria Math" w:hAnsi="Cambria Math"/>
                    </w:rPr>
                    <m:t>ik</m:t>
                  </m:r>
                </m:sub>
              </m:sSub>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tN</m:t>
              </m:r>
            </m:sub>
          </m:sSub>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LNE</m:t>
                  </m:r>
                </m:e>
                <m:sub>
                  <m:r>
                    <w:rPr>
                      <w:rFonts w:ascii="Cambria Math" w:hAnsi="Cambria Math"/>
                    </w:rPr>
                    <m:t>ik</m:t>
                  </m:r>
                </m:sub>
              </m:sSub>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ik</m:t>
              </m:r>
            </m:sub>
          </m:sSub>
          <m:r>
            <w:rPr>
              <w:rFonts w:ascii="Cambria Math" w:hAnsi="Cambria Math"/>
            </w:rPr>
            <m:t xml:space="preserve"> </m:t>
          </m:r>
        </m:oMath>
      </m:oMathPara>
    </w:p>
    <w:p w14:paraId="6D906CA9" w14:textId="77777777" w:rsidR="002E6018" w:rsidRPr="002E6018" w:rsidRDefault="002E6018" w:rsidP="002E6018">
      <w:pPr>
        <w:tabs>
          <w:tab w:val="right" w:pos="8789"/>
          <w:tab w:val="right" w:pos="9072"/>
        </w:tabs>
      </w:pPr>
      <w:r w:rsidRPr="002E6018">
        <w:tab/>
        <w:t>[3a]</w:t>
      </w:r>
    </w:p>
    <w:p w14:paraId="58A583C2" w14:textId="77777777" w:rsidR="002E6018" w:rsidRPr="002E6018" w:rsidRDefault="002E6018" w:rsidP="002E6018">
      <w:r w:rsidRPr="002E6018">
        <w:t>The assumption of CRS needs to be imposed with the special case of unitary scale returns, hence the following constraints are required:</w:t>
      </w:r>
    </w:p>
    <w:p w14:paraId="60BC86C3" w14:textId="77777777" w:rsidR="002E6018" w:rsidRPr="002E6018" w:rsidRDefault="002E6018" w:rsidP="002E6018">
      <w:pPr>
        <w:tabs>
          <w:tab w:val="left" w:pos="3119"/>
          <w:tab w:val="right" w:pos="8789"/>
        </w:tabs>
        <w:rPr>
          <w:rFonts w:eastAsiaTheme="minorEastAsia"/>
        </w:rPr>
      </w:pPr>
      <w:r w:rsidRPr="002E6018">
        <w:rPr>
          <w:rFonts w:eastAsiaTheme="minorEastAsia"/>
        </w:rPr>
        <w:tab/>
      </w:r>
      <m:oMath>
        <m:sSub>
          <m:sSubPr>
            <m:ctrlPr>
              <w:rPr>
                <w:rFonts w:ascii="Cambria Math" w:hAnsi="Cambria Math"/>
                <w:i/>
              </w:rPr>
            </m:ctrlPr>
          </m:sSubPr>
          <m:e>
            <m:r>
              <w:rPr>
                <w:rFonts w:ascii="Cambria Math" w:hAnsi="Cambria Math"/>
              </w:rPr>
              <m:t>b</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=1</m:t>
        </m:r>
      </m:oMath>
      <w:r w:rsidRPr="002E6018">
        <w:rPr>
          <w:rFonts w:eastAsiaTheme="minorEastAsia"/>
        </w:rPr>
        <w:tab/>
        <w:t>[3b]</w:t>
      </w:r>
    </w:p>
    <w:p w14:paraId="3B8AC626" w14:textId="77777777" w:rsidR="002E6018" w:rsidRPr="002E6018" w:rsidRDefault="002E6018" w:rsidP="002E6018">
      <w:pPr>
        <w:tabs>
          <w:tab w:val="left" w:pos="3119"/>
          <w:tab w:val="right" w:pos="8789"/>
        </w:tabs>
      </w:pPr>
      <w:r w:rsidRPr="002E6018">
        <w:rPr>
          <w:rFonts w:eastAsiaTheme="minorEastAsia"/>
        </w:rPr>
        <w:tab/>
      </w:r>
      <m:oMath>
        <m:sSub>
          <m:sSubPr>
            <m:ctrlPr>
              <w:rPr>
                <w:rFonts w:ascii="Cambria Math" w:hAnsi="Cambria Math"/>
                <w:i/>
              </w:rPr>
            </m:ctrlPr>
          </m:sSubPr>
          <m:e>
            <m:r>
              <w:rPr>
                <w:rFonts w:ascii="Cambria Math" w:hAnsi="Cambria Math"/>
              </w:rPr>
              <m:t>c</m:t>
            </m:r>
          </m:e>
          <m:sub>
            <m:r>
              <w:rPr>
                <w:rFonts w:ascii="Cambria Math" w:hAnsi="Cambria Math"/>
              </w:rPr>
              <m:t>LL</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LR</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LN</m:t>
            </m:r>
          </m:sub>
        </m:sSub>
        <m:r>
          <w:rPr>
            <w:rFonts w:ascii="Cambria Math" w:hAnsi="Cambria Math"/>
          </w:rPr>
          <m:t>=0</m:t>
        </m:r>
      </m:oMath>
      <w:r w:rsidRPr="002E6018">
        <w:rPr>
          <w:rFonts w:eastAsiaTheme="minorEastAsia"/>
        </w:rPr>
        <w:tab/>
        <w:t>[3c]</w:t>
      </w:r>
    </w:p>
    <w:p w14:paraId="55E07B71" w14:textId="77777777" w:rsidR="002E6018" w:rsidRPr="002E6018" w:rsidRDefault="002E6018" w:rsidP="002E6018">
      <w:pPr>
        <w:tabs>
          <w:tab w:val="left" w:pos="3119"/>
          <w:tab w:val="right" w:pos="8789"/>
        </w:tabs>
      </w:pPr>
      <w:r w:rsidRPr="002E6018">
        <w:rPr>
          <w:rFonts w:eastAsiaTheme="minorEastAsia"/>
        </w:rPr>
        <w:tab/>
      </w:r>
      <m:oMath>
        <m:sSub>
          <m:sSubPr>
            <m:ctrlPr>
              <w:rPr>
                <w:rFonts w:ascii="Cambria Math" w:hAnsi="Cambria Math"/>
                <w:i/>
              </w:rPr>
            </m:ctrlPr>
          </m:sSubPr>
          <m:e>
            <m:r>
              <w:rPr>
                <w:rFonts w:ascii="Cambria Math" w:hAnsi="Cambria Math"/>
              </w:rPr>
              <m:t>c</m:t>
            </m:r>
          </m:e>
          <m:sub>
            <m:r>
              <w:rPr>
                <w:rFonts w:ascii="Cambria Math" w:hAnsi="Cambria Math"/>
              </w:rPr>
              <m:t>RR</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LR</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RN</m:t>
            </m:r>
          </m:sub>
        </m:sSub>
        <m:r>
          <w:rPr>
            <w:rFonts w:ascii="Cambria Math" w:hAnsi="Cambria Math"/>
          </w:rPr>
          <m:t>=0</m:t>
        </m:r>
      </m:oMath>
      <w:r w:rsidRPr="002E6018">
        <w:rPr>
          <w:rFonts w:eastAsiaTheme="minorEastAsia"/>
        </w:rPr>
        <w:tab/>
        <w:t>[3d]</w:t>
      </w:r>
    </w:p>
    <w:p w14:paraId="1FEC7D83" w14:textId="77777777" w:rsidR="002E6018" w:rsidRPr="002E6018" w:rsidRDefault="002E6018" w:rsidP="002E6018">
      <w:pPr>
        <w:tabs>
          <w:tab w:val="left" w:pos="3119"/>
          <w:tab w:val="right" w:pos="8789"/>
        </w:tabs>
      </w:pPr>
      <w:r w:rsidRPr="002E6018">
        <w:rPr>
          <w:rFonts w:eastAsiaTheme="minorEastAsia"/>
        </w:rPr>
        <w:tab/>
      </w:r>
      <m:oMath>
        <m:sSub>
          <m:sSubPr>
            <m:ctrlPr>
              <w:rPr>
                <w:rFonts w:ascii="Cambria Math" w:hAnsi="Cambria Math"/>
                <w:i/>
              </w:rPr>
            </m:ctrlPr>
          </m:sSubPr>
          <m:e>
            <m:r>
              <w:rPr>
                <w:rFonts w:ascii="Cambria Math" w:hAnsi="Cambria Math"/>
              </w:rPr>
              <m:t>c</m:t>
            </m:r>
          </m:e>
          <m:sub>
            <m:r>
              <w:rPr>
                <w:rFonts w:ascii="Cambria Math" w:hAnsi="Cambria Math"/>
              </w:rPr>
              <m:t>NN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RN</m:t>
            </m:r>
          </m:sub>
        </m:sSub>
        <m:r>
          <w:rPr>
            <w:rFonts w:ascii="Cambria Math" w:hAnsi="Cambria Math"/>
          </w:rPr>
          <m:t>=0</m:t>
        </m:r>
      </m:oMath>
      <w:r w:rsidRPr="002E6018">
        <w:rPr>
          <w:rFonts w:eastAsiaTheme="minorEastAsia"/>
        </w:rPr>
        <w:tab/>
        <w:t>[3e]</w:t>
      </w:r>
    </w:p>
    <w:p w14:paraId="4E97CDCD" w14:textId="77777777" w:rsidR="002E6018" w:rsidRPr="002E6018" w:rsidRDefault="002E6018" w:rsidP="002E6018">
      <w:pPr>
        <w:tabs>
          <w:tab w:val="left" w:pos="3119"/>
          <w:tab w:val="right" w:pos="8789"/>
        </w:tabs>
      </w:pPr>
      <w:r w:rsidRPr="002E6018">
        <w:rPr>
          <w:rFonts w:eastAsiaTheme="minorEastAsia"/>
        </w:rPr>
        <w:tab/>
      </w:r>
      <m:oMath>
        <m:sSub>
          <m:sSubPr>
            <m:ctrlPr>
              <w:rPr>
                <w:rFonts w:ascii="Cambria Math" w:hAnsi="Cambria Math"/>
                <w:i/>
              </w:rPr>
            </m:ctrlPr>
          </m:sSubPr>
          <m:e>
            <m:r>
              <w:rPr>
                <w:rFonts w:ascii="Cambria Math" w:hAnsi="Cambria Math"/>
              </w:rPr>
              <m:t>h</m:t>
            </m:r>
          </m:e>
          <m:sub>
            <m:r>
              <w:rPr>
                <w:rFonts w:ascii="Cambria Math" w:hAnsi="Cambria Math"/>
              </w:rPr>
              <m:t>tL</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tR</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tN</m:t>
            </m:r>
          </m:sub>
        </m:sSub>
        <m:r>
          <w:rPr>
            <w:rFonts w:ascii="Cambria Math" w:hAnsi="Cambria Math"/>
          </w:rPr>
          <m:t>=0</m:t>
        </m:r>
      </m:oMath>
      <w:r w:rsidRPr="002E6018">
        <w:rPr>
          <w:rFonts w:eastAsiaTheme="minorEastAsia"/>
        </w:rPr>
        <w:tab/>
        <w:t>[3f]</w:t>
      </w:r>
    </w:p>
    <w:p w14:paraId="30BF08B1" w14:textId="1A63A74C" w:rsidR="002E6018" w:rsidRPr="002E6018" w:rsidRDefault="0036665C" w:rsidP="002E6018">
      <w:r>
        <w:t>Under a COLS approach, the full value of the residual is judged to represent the firm’</w:t>
      </w:r>
      <w:r w:rsidR="003448F9">
        <w:t>s efficiency</w:t>
      </w:r>
      <w:r>
        <w:t>, hence e</w:t>
      </w:r>
      <w:r w:rsidR="002E6018" w:rsidRPr="002E6018">
        <w:t xml:space="preserve">fficiency in the current year t is given </w:t>
      </w:r>
      <w:r>
        <w:t>by</w:t>
      </w:r>
      <w:r w:rsidR="002E6018" w:rsidRPr="002E6018">
        <w:t>:</w:t>
      </w:r>
    </w:p>
    <w:p w14:paraId="2BBD3243" w14:textId="55369763" w:rsidR="002E6018" w:rsidRPr="002E6018" w:rsidRDefault="002E6018" w:rsidP="002E6018">
      <w:pPr>
        <w:tabs>
          <w:tab w:val="left" w:pos="2268"/>
          <w:tab w:val="right" w:pos="8789"/>
        </w:tabs>
      </w:pPr>
      <w:bookmarkStart w:id="1" w:name="_Hlk480793089"/>
      <w:r w:rsidRPr="002E6018">
        <w:rPr>
          <w:rFonts w:eastAsiaTheme="minorEastAsia"/>
        </w:rPr>
        <w:tab/>
      </w:r>
      <m:oMath>
        <m:sSub>
          <m:sSubPr>
            <m:ctrlPr>
              <w:rPr>
                <w:rFonts w:ascii="Cambria Math" w:hAnsi="Cambria Math"/>
                <w:i/>
              </w:rPr>
            </m:ctrlPr>
          </m:sSubPr>
          <m:e>
            <m:r>
              <w:rPr>
                <w:rFonts w:ascii="Cambria Math" w:hAnsi="Cambria Math"/>
              </w:rPr>
              <m:t>Effy</m:t>
            </m:r>
          </m:e>
          <m:sub>
            <m:r>
              <w:rPr>
                <w:rFonts w:ascii="Cambria Math" w:hAnsi="Cambria Math"/>
              </w:rPr>
              <m:t>iTT</m:t>
            </m:r>
          </m:sub>
        </m:sSub>
        <m:r>
          <w:rPr>
            <w:rFonts w:ascii="Cambria Math" w:hAnsi="Cambria Math"/>
          </w:rPr>
          <m:t>= exp</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it</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X</m:t>
                </m:r>
              </m:sub>
              <m:sup>
                <m:r>
                  <w:rPr>
                    <w:rFonts w:ascii="Cambria Math" w:hAnsi="Cambria Math"/>
                  </w:rPr>
                  <m:t>+</m:t>
                </m:r>
              </m:sup>
            </m:sSubSup>
          </m:e>
        </m:d>
      </m:oMath>
      <w:r w:rsidRPr="002E6018">
        <w:tab/>
        <w:t>[4a]</w:t>
      </w:r>
    </w:p>
    <w:bookmarkEnd w:id="1"/>
    <w:p w14:paraId="143E0484" w14:textId="77777777" w:rsidR="002E6018" w:rsidRPr="002E6018" w:rsidRDefault="002E6018" w:rsidP="002E6018">
      <w:r w:rsidRPr="002E6018">
        <w:t>And in the previous year s as:</w:t>
      </w:r>
    </w:p>
    <w:p w14:paraId="2A3FFD11" w14:textId="7123D4A1" w:rsidR="002E6018" w:rsidRPr="002E6018" w:rsidRDefault="002E6018" w:rsidP="002E6018">
      <w:pPr>
        <w:tabs>
          <w:tab w:val="left" w:pos="2268"/>
          <w:tab w:val="right" w:pos="8789"/>
        </w:tabs>
      </w:pPr>
      <w:r w:rsidRPr="002E6018">
        <w:tab/>
      </w:r>
      <m:oMath>
        <m:sSub>
          <m:sSubPr>
            <m:ctrlPr>
              <w:rPr>
                <w:rFonts w:ascii="Cambria Math" w:hAnsi="Cambria Math"/>
                <w:i/>
              </w:rPr>
            </m:ctrlPr>
          </m:sSubPr>
          <m:e>
            <m:r>
              <w:rPr>
                <w:rFonts w:ascii="Cambria Math" w:hAnsi="Cambria Math"/>
              </w:rPr>
              <m:t>Effy</m:t>
            </m:r>
          </m:e>
          <m:sub>
            <m:r>
              <w:rPr>
                <w:rFonts w:ascii="Cambria Math" w:hAnsi="Cambria Math"/>
              </w:rPr>
              <m:t>iSS</m:t>
            </m:r>
          </m:sub>
        </m:sSub>
        <m:r>
          <w:rPr>
            <w:rFonts w:ascii="Cambria Math" w:hAnsi="Cambria Math"/>
          </w:rPr>
          <m:t>= exp</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is</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X</m:t>
                </m:r>
              </m:sub>
              <m:sup>
                <m:r>
                  <w:rPr>
                    <w:rFonts w:ascii="Cambria Math" w:hAnsi="Cambria Math"/>
                  </w:rPr>
                  <m:t>+</m:t>
                </m:r>
              </m:sup>
            </m:sSubSup>
          </m:e>
        </m:d>
      </m:oMath>
      <w:r w:rsidRPr="002E6018">
        <w:tab/>
        <w:t>[4b]</w:t>
      </w:r>
    </w:p>
    <w:p w14:paraId="73DC4918" w14:textId="5DBA18DE" w:rsidR="002E6018" w:rsidRPr="002E6018" w:rsidRDefault="002E6018" w:rsidP="002E6018">
      <w:pPr>
        <w:tabs>
          <w:tab w:val="left" w:pos="2268"/>
          <w:tab w:val="right" w:pos="8789"/>
        </w:tabs>
      </w:pPr>
      <w:r w:rsidRPr="002E6018">
        <w:t>W</w:t>
      </w:r>
      <w:r w:rsidR="00C57D1C">
        <w:t xml:space="preserve">here </w:t>
      </w:r>
      <w:r w:rsidRPr="002E6018">
        <w:t xml:space="preserve"> </w:t>
      </w:r>
      <m:oMath>
        <m:sSubSup>
          <m:sSubSupPr>
            <m:ctrlPr>
              <w:rPr>
                <w:rFonts w:ascii="Cambria Math" w:hAnsi="Cambria Math" w:cstheme="minorHAnsi"/>
                <w:i/>
                <w:sz w:val="20"/>
                <w:szCs w:val="20"/>
              </w:rPr>
            </m:ctrlPr>
          </m:sSubSupPr>
          <m:e>
            <m:r>
              <w:rPr>
                <w:rFonts w:ascii="Cambria Math" w:hAnsi="Cambria Math" w:cstheme="minorHAnsi"/>
                <w:sz w:val="20"/>
                <w:szCs w:val="20"/>
              </w:rPr>
              <m:t>e</m:t>
            </m:r>
          </m:e>
          <m:sub>
            <m:r>
              <w:rPr>
                <w:rFonts w:ascii="Cambria Math" w:hAnsi="Cambria Math" w:cstheme="minorHAnsi"/>
                <w:sz w:val="20"/>
                <w:szCs w:val="20"/>
              </w:rPr>
              <m:t>X</m:t>
            </m:r>
          </m:sub>
          <m:sup>
            <m:r>
              <w:rPr>
                <w:rFonts w:ascii="Cambria Math" w:hAnsi="Cambria Math" w:cstheme="minorHAnsi"/>
                <w:sz w:val="20"/>
                <w:szCs w:val="20"/>
              </w:rPr>
              <m:t>+</m:t>
            </m:r>
          </m:sup>
        </m:sSubSup>
      </m:oMath>
      <w:r w:rsidRPr="002E6018">
        <w:rPr>
          <w:rFonts w:eastAsiaTheme="minorEastAsia"/>
          <w:sz w:val="20"/>
          <w:szCs w:val="20"/>
        </w:rPr>
        <w:t xml:space="preserve"> </w:t>
      </w:r>
      <w:r w:rsidRPr="00C57D1C">
        <w:rPr>
          <w:rFonts w:eastAsiaTheme="minorEastAsia"/>
          <w:sz w:val="24"/>
          <w:szCs w:val="24"/>
        </w:rPr>
        <w:t>represent</w:t>
      </w:r>
      <w:r w:rsidR="00C57D1C" w:rsidRPr="00C57D1C">
        <w:rPr>
          <w:rFonts w:eastAsiaTheme="minorEastAsia"/>
          <w:sz w:val="24"/>
          <w:szCs w:val="24"/>
        </w:rPr>
        <w:t>s</w:t>
      </w:r>
      <w:r w:rsidRPr="00C57D1C">
        <w:rPr>
          <w:rFonts w:eastAsiaTheme="minorEastAsia"/>
          <w:sz w:val="24"/>
          <w:szCs w:val="24"/>
        </w:rPr>
        <w:t xml:space="preserve"> the largest positive residual </w:t>
      </w:r>
      <w:r w:rsidR="00C57D1C" w:rsidRPr="00C57D1C">
        <w:rPr>
          <w:rFonts w:eastAsiaTheme="minorEastAsia"/>
          <w:sz w:val="24"/>
          <w:szCs w:val="24"/>
        </w:rPr>
        <w:t>across the whole panel</w:t>
      </w:r>
      <w:r w:rsidRPr="00C57D1C">
        <w:rPr>
          <w:rFonts w:eastAsiaTheme="minorEastAsia"/>
          <w:sz w:val="24"/>
          <w:szCs w:val="24"/>
        </w:rPr>
        <w:t xml:space="preserve">.  </w:t>
      </w:r>
      <w:r w:rsidR="00C57D1C">
        <w:rPr>
          <w:rFonts w:eastAsiaTheme="minorEastAsia"/>
          <w:sz w:val="24"/>
          <w:szCs w:val="24"/>
        </w:rPr>
        <w:t xml:space="preserve">Efficiency </w:t>
      </w:r>
      <w:r w:rsidRPr="002E6018">
        <w:t xml:space="preserve">change in year t </w:t>
      </w:r>
      <w:r w:rsidR="00844253">
        <w:t xml:space="preserve">is </w:t>
      </w:r>
      <w:r w:rsidRPr="002E6018">
        <w:t xml:space="preserve">therefore </w:t>
      </w:r>
      <w:r w:rsidR="00844253">
        <w:t>given by</w:t>
      </w:r>
      <w:r w:rsidRPr="002E6018">
        <w:t>:</w:t>
      </w:r>
    </w:p>
    <w:p w14:paraId="64ED0857" w14:textId="77777777" w:rsidR="002E6018" w:rsidRPr="002E6018" w:rsidRDefault="006829FD" w:rsidP="002E6018">
      <m:oMathPara>
        <m:oMath>
          <m:sSub>
            <m:sSubPr>
              <m:ctrlPr>
                <w:rPr>
                  <w:rFonts w:ascii="Cambria Math" w:hAnsi="Cambria Math"/>
                  <w:i/>
                </w:rPr>
              </m:ctrlPr>
            </m:sSubPr>
            <m:e>
              <m:r>
                <w:rPr>
                  <w:rFonts w:ascii="Cambria Math" w:hAnsi="Cambria Math"/>
                </w:rPr>
                <m:t>EC</m:t>
              </m:r>
            </m:e>
            <m:sub>
              <m:r>
                <w:rPr>
                  <w:rFonts w:ascii="Cambria Math" w:hAnsi="Cambria Math"/>
                </w:rPr>
                <m:t>it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Effy</m:t>
                  </m:r>
                </m:e>
                <m:sub>
                  <m:r>
                    <w:rPr>
                      <w:rFonts w:ascii="Cambria Math" w:hAnsi="Cambria Math"/>
                    </w:rPr>
                    <m:t>iTT</m:t>
                  </m:r>
                </m:sub>
              </m:sSub>
            </m:num>
            <m:den>
              <m:sSub>
                <m:sSubPr>
                  <m:ctrlPr>
                    <w:rPr>
                      <w:rFonts w:ascii="Cambria Math" w:hAnsi="Cambria Math"/>
                      <w:i/>
                    </w:rPr>
                  </m:ctrlPr>
                </m:sSubPr>
                <m:e>
                  <m:r>
                    <w:rPr>
                      <w:rFonts w:ascii="Cambria Math" w:hAnsi="Cambria Math"/>
                    </w:rPr>
                    <m:t>Effy</m:t>
                  </m:r>
                </m:e>
                <m:sub>
                  <m:r>
                    <w:rPr>
                      <w:rFonts w:ascii="Cambria Math" w:hAnsi="Cambria Math"/>
                    </w:rPr>
                    <m:t>iSS</m:t>
                  </m:r>
                </m:sub>
              </m:sSub>
            </m:den>
          </m:f>
        </m:oMath>
      </m:oMathPara>
    </w:p>
    <w:p w14:paraId="7465DDB9" w14:textId="4E578FE8" w:rsidR="002E6018" w:rsidRPr="002E6018" w:rsidRDefault="002E6018" w:rsidP="002E6018">
      <w:r w:rsidRPr="002E6018">
        <w:t>Technical change is calculated as an average of the rate of change of output with respect to time in year</w:t>
      </w:r>
      <w:r w:rsidR="00246CA0">
        <w:t>s</w:t>
      </w:r>
      <w:r w:rsidRPr="002E6018">
        <w:t xml:space="preserve"> t and s, hence the geometric mean of:</w:t>
      </w:r>
    </w:p>
    <w:p w14:paraId="02F80689" w14:textId="77777777" w:rsidR="002E6018" w:rsidRPr="002E6018" w:rsidRDefault="002E6018" w:rsidP="002E6018">
      <w:pPr>
        <w:tabs>
          <w:tab w:val="left" w:pos="851"/>
          <w:tab w:val="right" w:pos="8789"/>
        </w:tabs>
        <w:rPr>
          <w:rFonts w:eastAsiaTheme="minorEastAsia"/>
        </w:rPr>
      </w:pPr>
      <w:r w:rsidRPr="002E6018">
        <w:rPr>
          <w:rFonts w:eastAsiaTheme="minorEastAsia"/>
        </w:rPr>
        <w:tab/>
      </w:r>
      <m:oMath>
        <m:sSub>
          <m:sSubPr>
            <m:ctrlPr>
              <w:rPr>
                <w:rFonts w:ascii="Cambria Math" w:hAnsi="Cambria Math"/>
                <w:i/>
              </w:rPr>
            </m:ctrlPr>
          </m:sSubPr>
          <m:e>
            <m:r>
              <w:rPr>
                <w:rFonts w:ascii="Cambria Math" w:hAnsi="Cambria Math"/>
              </w:rPr>
              <m:t>TC</m:t>
            </m:r>
          </m:e>
          <m:sub>
            <m:r>
              <w:rPr>
                <w:rFonts w:ascii="Cambria Math" w:hAnsi="Cambria Math"/>
              </w:rPr>
              <m:t>it</m:t>
            </m:r>
          </m:sub>
        </m:sSub>
        <m:r>
          <w:rPr>
            <w:rFonts w:ascii="Cambria Math" w:hAnsi="Cambria Math"/>
          </w:rPr>
          <m:t>=</m:t>
        </m:r>
        <m:f>
          <m:fPr>
            <m:ctrlPr>
              <w:rPr>
                <w:rFonts w:ascii="Cambria Math" w:hAnsi="Cambria Math"/>
                <w:i/>
              </w:rPr>
            </m:ctrlPr>
          </m:fPr>
          <m:num>
            <m:r>
              <m:rPr>
                <m:nor/>
              </m:rPr>
              <w:rPr>
                <w:rFonts w:ascii="Cambria Math" w:hAnsi="Cambria Math"/>
              </w:rPr>
              <m:t>d</m:t>
            </m:r>
            <m:sSub>
              <m:sSubPr>
                <m:ctrlPr>
                  <w:rPr>
                    <w:rFonts w:ascii="Cambria Math" w:hAnsi="Cambria Math"/>
                  </w:rPr>
                </m:ctrlPr>
              </m:sSubPr>
              <m:e>
                <m:r>
                  <w:rPr>
                    <w:rFonts w:ascii="Cambria Math" w:hAnsi="Cambria Math"/>
                  </w:rPr>
                  <m:t>TrKm</m:t>
                </m:r>
              </m:e>
              <m:sub>
                <m:r>
                  <m:rPr>
                    <m:sty m:val="p"/>
                  </m:rPr>
                  <w:rPr>
                    <w:rFonts w:ascii="Cambria Math" w:hAnsi="Cambria Math"/>
                  </w:rPr>
                  <m:t>it</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tt</m:t>
            </m:r>
          </m:sub>
        </m:sSub>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tB</m:t>
            </m:r>
          </m:sub>
        </m:sSub>
        <m:r>
          <w:rPr>
            <w:rFonts w:ascii="Cambria Math" w:hAnsi="Cambria Math"/>
          </w:rPr>
          <m:t>Ln(</m:t>
        </m:r>
        <m:sSub>
          <m:sSubPr>
            <m:ctrlPr>
              <w:rPr>
                <w:rFonts w:ascii="Cambria Math" w:hAnsi="Cambria Math"/>
                <w:i/>
              </w:rPr>
            </m:ctrlPr>
          </m:sSubPr>
          <m:e>
            <m:r>
              <w:rPr>
                <w:rFonts w:ascii="Cambria Math" w:hAnsi="Cambria Math"/>
              </w:rPr>
              <m:t>LAB</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tA</m:t>
            </m:r>
          </m:sub>
        </m:sSub>
        <m:r>
          <w:rPr>
            <w:rFonts w:ascii="Cambria Math" w:hAnsi="Cambria Math"/>
          </w:rPr>
          <m:t>Ln(</m:t>
        </m:r>
        <m:sSub>
          <m:sSubPr>
            <m:ctrlPr>
              <w:rPr>
                <w:rFonts w:ascii="Cambria Math" w:hAnsi="Cambria Math"/>
                <w:i/>
              </w:rPr>
            </m:ctrlPr>
          </m:sSubPr>
          <m:e>
            <m:r>
              <w:rPr>
                <w:rFonts w:ascii="Cambria Math" w:hAnsi="Cambria Math"/>
              </w:rPr>
              <m:t>TRS</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tE</m:t>
            </m:r>
          </m:sub>
        </m:sSub>
        <m:r>
          <w:rPr>
            <w:rFonts w:ascii="Cambria Math" w:hAnsi="Cambria Math"/>
          </w:rPr>
          <m:t>Ln(</m:t>
        </m:r>
        <m:sSub>
          <m:sSubPr>
            <m:ctrlPr>
              <w:rPr>
                <w:rFonts w:ascii="Cambria Math" w:hAnsi="Cambria Math"/>
                <w:i/>
              </w:rPr>
            </m:ctrlPr>
          </m:sSubPr>
          <m:e>
            <m:r>
              <w:rPr>
                <w:rFonts w:ascii="Cambria Math" w:hAnsi="Cambria Math"/>
              </w:rPr>
              <m:t>LNE</m:t>
            </m:r>
          </m:e>
          <m:sub>
            <m:r>
              <w:rPr>
                <w:rFonts w:ascii="Cambria Math" w:hAnsi="Cambria Math"/>
              </w:rPr>
              <m:t>it</m:t>
            </m:r>
          </m:sub>
        </m:sSub>
        <m:r>
          <w:rPr>
            <w:rFonts w:ascii="Cambria Math" w:hAnsi="Cambria Math"/>
          </w:rPr>
          <m:t>)</m:t>
        </m:r>
      </m:oMath>
      <w:r w:rsidRPr="002E6018">
        <w:rPr>
          <w:rFonts w:eastAsiaTheme="minorEastAsia"/>
        </w:rPr>
        <w:tab/>
      </w:r>
      <w:r w:rsidRPr="002E6018">
        <w:t>[4c]</w:t>
      </w:r>
    </w:p>
    <w:p w14:paraId="001F60DC" w14:textId="77777777" w:rsidR="002E6018" w:rsidRPr="002E6018" w:rsidRDefault="002E6018" w:rsidP="002E6018">
      <w:pPr>
        <w:rPr>
          <w:rFonts w:eastAsiaTheme="minorEastAsia"/>
        </w:rPr>
      </w:pPr>
      <w:r w:rsidRPr="002E6018">
        <w:rPr>
          <w:rFonts w:eastAsiaTheme="minorEastAsia"/>
        </w:rPr>
        <w:t>And:</w:t>
      </w:r>
    </w:p>
    <w:p w14:paraId="4ED3760B" w14:textId="77777777" w:rsidR="002E6018" w:rsidRPr="002E6018" w:rsidRDefault="002E6018" w:rsidP="002E6018">
      <w:pPr>
        <w:tabs>
          <w:tab w:val="left" w:pos="851"/>
          <w:tab w:val="right" w:pos="8789"/>
        </w:tabs>
        <w:rPr>
          <w:rFonts w:eastAsiaTheme="minorEastAsia"/>
        </w:rPr>
      </w:pPr>
      <w:r w:rsidRPr="002E6018">
        <w:rPr>
          <w:rFonts w:eastAsiaTheme="minorEastAsia"/>
        </w:rPr>
        <w:tab/>
      </w:r>
      <m:oMath>
        <m:sSub>
          <m:sSubPr>
            <m:ctrlPr>
              <w:rPr>
                <w:rFonts w:ascii="Cambria Math" w:hAnsi="Cambria Math"/>
                <w:i/>
              </w:rPr>
            </m:ctrlPr>
          </m:sSubPr>
          <m:e>
            <m:r>
              <w:rPr>
                <w:rFonts w:ascii="Cambria Math" w:hAnsi="Cambria Math"/>
              </w:rPr>
              <m:t>TC</m:t>
            </m:r>
          </m:e>
          <m:sub>
            <m:r>
              <w:rPr>
                <w:rFonts w:ascii="Cambria Math" w:hAnsi="Cambria Math"/>
              </w:rPr>
              <m:t>is</m:t>
            </m:r>
          </m:sub>
        </m:sSub>
        <m:r>
          <w:rPr>
            <w:rFonts w:ascii="Cambria Math" w:hAnsi="Cambria Math"/>
          </w:rPr>
          <m:t>=</m:t>
        </m:r>
        <m:f>
          <m:fPr>
            <m:ctrlPr>
              <w:rPr>
                <w:rFonts w:ascii="Cambria Math" w:hAnsi="Cambria Math"/>
                <w:i/>
              </w:rPr>
            </m:ctrlPr>
          </m:fPr>
          <m:num>
            <m:r>
              <m:rPr>
                <m:nor/>
              </m:rPr>
              <w:rPr>
                <w:rFonts w:ascii="Cambria Math" w:hAnsi="Cambria Math"/>
              </w:rPr>
              <m:t>d</m:t>
            </m:r>
            <m:sSub>
              <m:sSubPr>
                <m:ctrlPr>
                  <w:rPr>
                    <w:rFonts w:ascii="Cambria Math" w:hAnsi="Cambria Math"/>
                  </w:rPr>
                </m:ctrlPr>
              </m:sSubPr>
              <m:e>
                <m:r>
                  <w:rPr>
                    <w:rFonts w:ascii="Cambria Math" w:hAnsi="Cambria Math"/>
                  </w:rPr>
                  <m:t>TrKm</m:t>
                </m:r>
              </m:e>
              <m:sub>
                <m:r>
                  <m:rPr>
                    <m:sty m:val="p"/>
                  </m:rPr>
                  <w:rPr>
                    <w:rFonts w:ascii="Cambria Math" w:hAnsi="Cambria Math"/>
                  </w:rPr>
                  <m:t>is</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tt</m:t>
            </m:r>
          </m:sub>
        </m:sSub>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tB</m:t>
            </m:r>
          </m:sub>
        </m:sSub>
        <m:r>
          <w:rPr>
            <w:rFonts w:ascii="Cambria Math" w:hAnsi="Cambria Math"/>
          </w:rPr>
          <m:t>Ln(</m:t>
        </m:r>
        <m:sSub>
          <m:sSubPr>
            <m:ctrlPr>
              <w:rPr>
                <w:rFonts w:ascii="Cambria Math" w:hAnsi="Cambria Math"/>
                <w:i/>
              </w:rPr>
            </m:ctrlPr>
          </m:sSubPr>
          <m:e>
            <m:r>
              <w:rPr>
                <w:rFonts w:ascii="Cambria Math" w:hAnsi="Cambria Math"/>
              </w:rPr>
              <m:t>LAB</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tA</m:t>
            </m:r>
          </m:sub>
        </m:sSub>
        <m:r>
          <w:rPr>
            <w:rFonts w:ascii="Cambria Math" w:hAnsi="Cambria Math"/>
          </w:rPr>
          <m:t>Ln(</m:t>
        </m:r>
        <m:sSub>
          <m:sSubPr>
            <m:ctrlPr>
              <w:rPr>
                <w:rFonts w:ascii="Cambria Math" w:hAnsi="Cambria Math"/>
                <w:i/>
              </w:rPr>
            </m:ctrlPr>
          </m:sSubPr>
          <m:e>
            <m:r>
              <w:rPr>
                <w:rFonts w:ascii="Cambria Math" w:hAnsi="Cambria Math"/>
              </w:rPr>
              <m:t>TRS</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tE</m:t>
            </m:r>
          </m:sub>
        </m:sSub>
        <m:r>
          <w:rPr>
            <w:rFonts w:ascii="Cambria Math" w:hAnsi="Cambria Math"/>
          </w:rPr>
          <m:t>Ln(</m:t>
        </m:r>
        <m:sSub>
          <m:sSubPr>
            <m:ctrlPr>
              <w:rPr>
                <w:rFonts w:ascii="Cambria Math" w:hAnsi="Cambria Math"/>
                <w:i/>
              </w:rPr>
            </m:ctrlPr>
          </m:sSubPr>
          <m:e>
            <m:r>
              <w:rPr>
                <w:rFonts w:ascii="Cambria Math" w:hAnsi="Cambria Math"/>
              </w:rPr>
              <m:t>LNE</m:t>
            </m:r>
          </m:e>
          <m:sub>
            <m:r>
              <w:rPr>
                <w:rFonts w:ascii="Cambria Math" w:hAnsi="Cambria Math"/>
              </w:rPr>
              <m:t>is</m:t>
            </m:r>
          </m:sub>
        </m:sSub>
        <m:r>
          <w:rPr>
            <w:rFonts w:ascii="Cambria Math" w:hAnsi="Cambria Math"/>
          </w:rPr>
          <m:t>)</m:t>
        </m:r>
      </m:oMath>
      <w:r w:rsidRPr="002E6018">
        <w:rPr>
          <w:rFonts w:eastAsiaTheme="minorEastAsia"/>
        </w:rPr>
        <w:tab/>
      </w:r>
      <w:r w:rsidRPr="002E6018">
        <w:t>[4d]</w:t>
      </w:r>
    </w:p>
    <w:p w14:paraId="21647596" w14:textId="77777777" w:rsidR="002E6018" w:rsidRPr="002E6018" w:rsidRDefault="002E6018" w:rsidP="002E6018">
      <w:r w:rsidRPr="002E6018">
        <w:t>Hence:</w:t>
      </w:r>
    </w:p>
    <w:p w14:paraId="25FFACCC" w14:textId="77777777" w:rsidR="002E6018" w:rsidRPr="002E6018" w:rsidRDefault="002E6018" w:rsidP="002E6018">
      <w:pPr>
        <w:tabs>
          <w:tab w:val="left" w:pos="2552"/>
          <w:tab w:val="right" w:pos="8789"/>
        </w:tabs>
        <w:rPr>
          <w:rFonts w:eastAsiaTheme="minorEastAsia"/>
        </w:rPr>
      </w:pPr>
      <w:r w:rsidRPr="002E6018">
        <w:rPr>
          <w:rFonts w:eastAsiaTheme="minorEastAsia"/>
        </w:rPr>
        <w:tab/>
      </w:r>
      <m:oMath>
        <m:sSub>
          <m:sSubPr>
            <m:ctrlPr>
              <w:rPr>
                <w:rFonts w:ascii="Cambria Math" w:hAnsi="Cambria Math"/>
                <w:i/>
              </w:rPr>
            </m:ctrlPr>
          </m:sSubPr>
          <m:e>
            <m:r>
              <w:rPr>
                <w:rFonts w:ascii="Cambria Math" w:hAnsi="Cambria Math"/>
              </w:rPr>
              <m:t>TC</m:t>
            </m:r>
          </m:e>
          <m:sub>
            <m:r>
              <w:rPr>
                <w:rFonts w:ascii="Cambria Math" w:hAnsi="Cambria Math"/>
              </w:rPr>
              <m:t>ist</m:t>
            </m:r>
          </m:sub>
        </m:sSub>
        <m:r>
          <w:rPr>
            <w:rFonts w:ascii="Cambria Math" w:hAnsi="Cambria Math"/>
          </w:rPr>
          <m:t>=Geomean</m:t>
        </m:r>
        <m:d>
          <m:dPr>
            <m:ctrlPr>
              <w:rPr>
                <w:rFonts w:ascii="Cambria Math" w:hAnsi="Cambria Math"/>
                <w:i/>
              </w:rPr>
            </m:ctrlPr>
          </m:dPr>
          <m:e>
            <m:sSub>
              <m:sSubPr>
                <m:ctrlPr>
                  <w:rPr>
                    <w:rFonts w:ascii="Cambria Math" w:hAnsi="Cambria Math"/>
                    <w:i/>
                  </w:rPr>
                </m:ctrlPr>
              </m:sSubPr>
              <m:e>
                <m:r>
                  <w:rPr>
                    <w:rFonts w:ascii="Cambria Math" w:hAnsi="Cambria Math"/>
                  </w:rPr>
                  <m:t>TC</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TC</m:t>
                </m:r>
              </m:e>
              <m:sub>
                <m:r>
                  <w:rPr>
                    <w:rFonts w:ascii="Cambria Math" w:hAnsi="Cambria Math"/>
                  </w:rPr>
                  <m:t>s</m:t>
                </m:r>
              </m:sub>
            </m:sSub>
          </m:e>
        </m:d>
      </m:oMath>
      <w:r w:rsidRPr="002E6018">
        <w:rPr>
          <w:rFonts w:eastAsiaTheme="minorEastAsia"/>
        </w:rPr>
        <w:tab/>
      </w:r>
      <w:r w:rsidRPr="002E6018">
        <w:t>[4e]</w:t>
      </w:r>
    </w:p>
    <w:p w14:paraId="5C94D584" w14:textId="77777777" w:rsidR="002E6018" w:rsidRPr="002E6018" w:rsidRDefault="002E6018" w:rsidP="002E6018"/>
    <w:p w14:paraId="54D006C3" w14:textId="77777777" w:rsidR="002E6018" w:rsidRPr="002E6018" w:rsidRDefault="002E6018" w:rsidP="002E6018">
      <w:r w:rsidRPr="002E6018">
        <w:t>And for completeness, TFP(change) is given by:</w:t>
      </w:r>
    </w:p>
    <w:p w14:paraId="4BA05090" w14:textId="77777777" w:rsidR="002E6018" w:rsidRPr="002E6018" w:rsidRDefault="002E6018" w:rsidP="002E6018">
      <w:pPr>
        <w:tabs>
          <w:tab w:val="left" w:pos="3119"/>
          <w:tab w:val="right" w:pos="8789"/>
        </w:tabs>
        <w:rPr>
          <w:rFonts w:eastAsiaTheme="minorEastAsia"/>
        </w:rPr>
      </w:pPr>
      <w:r w:rsidRPr="002E6018">
        <w:rPr>
          <w:rFonts w:eastAsiaTheme="minorEastAsia"/>
        </w:rPr>
        <w:tab/>
      </w:r>
      <m:oMath>
        <m:sSub>
          <m:sSubPr>
            <m:ctrlPr>
              <w:rPr>
                <w:rFonts w:ascii="Cambria Math" w:hAnsi="Cambria Math"/>
                <w:i/>
              </w:rPr>
            </m:ctrlPr>
          </m:sSubPr>
          <m:e>
            <m:r>
              <w:rPr>
                <w:rFonts w:ascii="Cambria Math" w:hAnsi="Cambria Math"/>
              </w:rPr>
              <m:t>TFP</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EC</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TC</m:t>
            </m:r>
          </m:e>
          <m:sub>
            <m:r>
              <w:rPr>
                <w:rFonts w:ascii="Cambria Math" w:hAnsi="Cambria Math"/>
              </w:rPr>
              <m:t>ist</m:t>
            </m:r>
          </m:sub>
        </m:sSub>
      </m:oMath>
      <w:r w:rsidRPr="002E6018">
        <w:rPr>
          <w:rFonts w:eastAsiaTheme="minorEastAsia"/>
        </w:rPr>
        <w:tab/>
      </w:r>
      <w:r w:rsidRPr="002E6018">
        <w:t>[4f]</w:t>
      </w:r>
    </w:p>
    <w:p w14:paraId="4758D30A" w14:textId="77777777" w:rsidR="00C57D1C" w:rsidRDefault="00C57D1C" w:rsidP="007E37B9">
      <w:pPr>
        <w:pStyle w:val="Heading3"/>
      </w:pPr>
    </w:p>
    <w:p w14:paraId="603F8977" w14:textId="63C5A5AB" w:rsidR="002E6018" w:rsidRPr="002E6018" w:rsidRDefault="003448F9" w:rsidP="007E37B9">
      <w:pPr>
        <w:pStyle w:val="Heading3"/>
      </w:pPr>
      <w:r>
        <w:t xml:space="preserve">5.2 </w:t>
      </w:r>
      <w:r w:rsidR="002E6018" w:rsidRPr="002E6018">
        <w:t>Stochastic Full Panel Assessment</w:t>
      </w:r>
    </w:p>
    <w:p w14:paraId="00897C51" w14:textId="3325F14C" w:rsidR="002E6018" w:rsidRPr="002E6018" w:rsidRDefault="002E6018" w:rsidP="002E6018">
      <w:r w:rsidRPr="002E6018">
        <w:t xml:space="preserve">As above, the first requirement for productivity assessment is the imposition of (unitary) constant returns to scale, however due to issues with the </w:t>
      </w:r>
      <w:r w:rsidR="00C57D1C">
        <w:t>under</w:t>
      </w:r>
      <w:r w:rsidR="00917771">
        <w:t xml:space="preserve">lying </w:t>
      </w:r>
      <w:r w:rsidRPr="002E6018">
        <w:t>MLE estimation</w:t>
      </w:r>
      <w:r w:rsidR="00917771">
        <w:t xml:space="preserve"> method</w:t>
      </w:r>
      <w:r w:rsidRPr="002E6018">
        <w:t xml:space="preserve"> and the </w:t>
      </w:r>
      <w:r w:rsidR="00246CA0">
        <w:t xml:space="preserve">associated </w:t>
      </w:r>
      <w:r w:rsidRPr="002E6018">
        <w:t xml:space="preserve">decomposition of the residual element, </w:t>
      </w:r>
      <w:r w:rsidR="002E3697">
        <w:t>the n</w:t>
      </w:r>
      <w:r w:rsidRPr="002E6018">
        <w:t>ormal procedure is to impose the CRS assumption by dividing each element by one of the inputs</w:t>
      </w:r>
      <w:r w:rsidR="00A822C9">
        <w:t xml:space="preserve"> </w:t>
      </w:r>
      <w:r w:rsidR="00A822C9" w:rsidRPr="002E6018">
        <w:t>(Coelli et al, 199</w:t>
      </w:r>
      <w:r w:rsidR="00A822C9">
        <w:t>8</w:t>
      </w:r>
      <w:r w:rsidR="00A822C9" w:rsidRPr="002E6018">
        <w:t>)</w:t>
      </w:r>
      <w:r w:rsidRPr="002E6018">
        <w:t>.  In this case the input chosen is per thousand kilometres of line length, hence the function to be estimated is:</w:t>
      </w:r>
    </w:p>
    <w:p w14:paraId="3572D9FC" w14:textId="77777777" w:rsidR="002E6018" w:rsidRPr="002E6018" w:rsidRDefault="002E6018" w:rsidP="002E6018">
      <w:pPr>
        <w:rPr>
          <w:rFonts w:eastAsiaTheme="minorEastAsia"/>
        </w:rPr>
      </w:pPr>
      <m:oMath>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TrKm</m:t>
                    </m:r>
                  </m:e>
                  <m:sub>
                    <m:r>
                      <w:rPr>
                        <w:rFonts w:ascii="Cambria Math" w:hAnsi="Cambria Math"/>
                      </w:rPr>
                      <m:t>i</m:t>
                    </m:r>
                    <m:r>
                      <w:rPr>
                        <w:rFonts w:ascii="Cambria Math" w:hAnsi="Cambria Math" w:cs="Cambria Math"/>
                      </w:rPr>
                      <m:t>t</m:t>
                    </m:r>
                  </m:sub>
                </m:sSub>
              </m:num>
              <m:den>
                <m:sSub>
                  <m:sSubPr>
                    <m:ctrlPr>
                      <w:rPr>
                        <w:rFonts w:ascii="Cambria Math" w:hAnsi="Cambria Math"/>
                        <w:i/>
                      </w:rPr>
                    </m:ctrlPr>
                  </m:sSubPr>
                  <m:e>
                    <m:r>
                      <w:rPr>
                        <w:rFonts w:ascii="Cambria Math" w:hAnsi="Cambria Math"/>
                      </w:rPr>
                      <m:t>Line</m:t>
                    </m:r>
                  </m:e>
                  <m:sub>
                    <m:r>
                      <w:rPr>
                        <w:rFonts w:ascii="Cambria Math" w:hAnsi="Cambria Math"/>
                      </w:rPr>
                      <m:t>it</m:t>
                    </m:r>
                  </m:sub>
                </m:sSub>
              </m:den>
            </m:f>
          </m:e>
        </m:d>
        <m:r>
          <w:rPr>
            <w:rFonts w:ascii="Cambria Math" w:hAnsi="Cambria Math"/>
          </w:rPr>
          <m:t xml:space="preserve"> =a+</m:t>
        </m:r>
        <m:sSub>
          <m:sSubPr>
            <m:ctrlPr>
              <w:rPr>
                <w:rFonts w:ascii="Cambria Math" w:hAnsi="Cambria Math"/>
                <w:i/>
              </w:rPr>
            </m:ctrlPr>
          </m:sSubPr>
          <m:e>
            <m:r>
              <w:rPr>
                <w:rFonts w:ascii="Cambria Math" w:hAnsi="Cambria Math"/>
              </w:rPr>
              <m:t>b</m:t>
            </m:r>
          </m:e>
          <m:sub>
            <m:r>
              <w:rPr>
                <w:rFonts w:ascii="Cambria Math" w:hAnsi="Cambria Math"/>
              </w:rPr>
              <m:t>B</m:t>
            </m:r>
          </m:sub>
        </m:sSub>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Lab</m:t>
                    </m:r>
                  </m:e>
                  <m:sub>
                    <m:r>
                      <w:rPr>
                        <w:rFonts w:ascii="Cambria Math" w:hAnsi="Cambria Math"/>
                      </w:rPr>
                      <m:t>it</m:t>
                    </m:r>
                  </m:sub>
                </m:sSub>
              </m:num>
              <m:den>
                <m:sSub>
                  <m:sSubPr>
                    <m:ctrlPr>
                      <w:rPr>
                        <w:rFonts w:ascii="Cambria Math" w:hAnsi="Cambria Math"/>
                        <w:i/>
                      </w:rPr>
                    </m:ctrlPr>
                  </m:sSubPr>
                  <m:e>
                    <m:r>
                      <w:rPr>
                        <w:rFonts w:ascii="Cambria Math" w:hAnsi="Cambria Math"/>
                      </w:rPr>
                      <m:t>Line</m:t>
                    </m:r>
                  </m:e>
                  <m:sub>
                    <m:r>
                      <w:rPr>
                        <w:rFonts w:ascii="Cambria Math" w:hAnsi="Cambria Math"/>
                      </w:rPr>
                      <m:t>it</m:t>
                    </m:r>
                  </m:sub>
                </m:sSub>
              </m:den>
            </m:f>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A</m:t>
            </m:r>
          </m:sub>
        </m:sSub>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TRS</m:t>
                    </m:r>
                  </m:e>
                  <m:sub>
                    <m:r>
                      <w:rPr>
                        <w:rFonts w:ascii="Cambria Math" w:hAnsi="Cambria Math"/>
                      </w:rPr>
                      <m:t>it</m:t>
                    </m:r>
                  </m:sub>
                </m:sSub>
              </m:num>
              <m:den>
                <m:sSub>
                  <m:sSubPr>
                    <m:ctrlPr>
                      <w:rPr>
                        <w:rFonts w:ascii="Cambria Math" w:hAnsi="Cambria Math"/>
                        <w:i/>
                      </w:rPr>
                    </m:ctrlPr>
                  </m:sSubPr>
                  <m:e>
                    <m:r>
                      <w:rPr>
                        <w:rFonts w:ascii="Cambria Math" w:hAnsi="Cambria Math"/>
                      </w:rPr>
                      <m:t>Line</m:t>
                    </m:r>
                  </m:e>
                  <m:sub>
                    <m:r>
                      <w:rPr>
                        <w:rFonts w:ascii="Cambria Math" w:hAnsi="Cambria Math"/>
                      </w:rPr>
                      <m:t>it</m:t>
                    </m:r>
                  </m:sub>
                </m:sSub>
              </m:den>
            </m:f>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BB</m:t>
            </m:r>
          </m:sub>
        </m:s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Ln</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Lab</m:t>
                        </m:r>
                      </m:e>
                      <m:sub>
                        <m:r>
                          <w:rPr>
                            <w:rFonts w:ascii="Cambria Math" w:hAnsi="Cambria Math"/>
                          </w:rPr>
                          <m:t>it</m:t>
                        </m:r>
                      </m:sub>
                    </m:sSub>
                  </m:num>
                  <m:den>
                    <m:sSub>
                      <m:sSubPr>
                        <m:ctrlPr>
                          <w:rPr>
                            <w:rFonts w:ascii="Cambria Math" w:hAnsi="Cambria Math"/>
                            <w:i/>
                          </w:rPr>
                        </m:ctrlPr>
                      </m:sSubPr>
                      <m:e>
                        <m:r>
                          <w:rPr>
                            <w:rFonts w:ascii="Cambria Math" w:hAnsi="Cambria Math"/>
                          </w:rPr>
                          <m:t>Line</m:t>
                        </m:r>
                      </m:e>
                      <m:sub>
                        <m:r>
                          <w:rPr>
                            <w:rFonts w:ascii="Cambria Math" w:hAnsi="Cambria Math"/>
                          </w:rPr>
                          <m:t>it</m:t>
                        </m:r>
                      </m:sub>
                    </m:sSub>
                  </m:den>
                </m:f>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AA</m:t>
            </m:r>
          </m:sub>
        </m:s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Ln</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TRS</m:t>
                        </m:r>
                      </m:e>
                      <m:sub>
                        <m:r>
                          <w:rPr>
                            <w:rFonts w:ascii="Cambria Math" w:hAnsi="Cambria Math"/>
                          </w:rPr>
                          <m:t>it</m:t>
                        </m:r>
                      </m:sub>
                    </m:sSub>
                  </m:num>
                  <m:den>
                    <m:sSub>
                      <m:sSubPr>
                        <m:ctrlPr>
                          <w:rPr>
                            <w:rFonts w:ascii="Cambria Math" w:hAnsi="Cambria Math"/>
                            <w:i/>
                          </w:rPr>
                        </m:ctrlPr>
                      </m:sSubPr>
                      <m:e>
                        <m:r>
                          <w:rPr>
                            <w:rFonts w:ascii="Cambria Math" w:hAnsi="Cambria Math"/>
                          </w:rPr>
                          <m:t>Line</m:t>
                        </m:r>
                      </m:e>
                      <m:sub>
                        <m:r>
                          <w:rPr>
                            <w:rFonts w:ascii="Cambria Math" w:hAnsi="Cambria Math"/>
                          </w:rPr>
                          <m:t>it</m:t>
                        </m:r>
                      </m:sub>
                    </m:sSub>
                  </m:den>
                </m:f>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BA</m:t>
            </m:r>
          </m:sub>
        </m:sSub>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Lab</m:t>
                    </m:r>
                  </m:e>
                  <m:sub>
                    <m:r>
                      <w:rPr>
                        <w:rFonts w:ascii="Cambria Math" w:hAnsi="Cambria Math"/>
                      </w:rPr>
                      <m:t>it</m:t>
                    </m:r>
                  </m:sub>
                </m:sSub>
              </m:num>
              <m:den>
                <m:sSub>
                  <m:sSubPr>
                    <m:ctrlPr>
                      <w:rPr>
                        <w:rFonts w:ascii="Cambria Math" w:hAnsi="Cambria Math"/>
                        <w:i/>
                      </w:rPr>
                    </m:ctrlPr>
                  </m:sSubPr>
                  <m:e>
                    <m:r>
                      <w:rPr>
                        <w:rFonts w:ascii="Cambria Math" w:hAnsi="Cambria Math"/>
                      </w:rPr>
                      <m:t>Line</m:t>
                    </m:r>
                  </m:e>
                  <m:sub>
                    <m:r>
                      <w:rPr>
                        <w:rFonts w:ascii="Cambria Math" w:hAnsi="Cambria Math"/>
                      </w:rPr>
                      <m:t>it</m:t>
                    </m:r>
                  </m:sub>
                </m:sSub>
              </m:den>
            </m:f>
          </m:e>
        </m:d>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TRS</m:t>
                    </m:r>
                  </m:e>
                  <m:sub>
                    <m:r>
                      <w:rPr>
                        <w:rFonts w:ascii="Cambria Math" w:hAnsi="Cambria Math"/>
                      </w:rPr>
                      <m:t>it</m:t>
                    </m:r>
                  </m:sub>
                </m:sSub>
              </m:num>
              <m:den>
                <m:sSub>
                  <m:sSubPr>
                    <m:ctrlPr>
                      <w:rPr>
                        <w:rFonts w:ascii="Cambria Math" w:hAnsi="Cambria Math"/>
                        <w:i/>
                      </w:rPr>
                    </m:ctrlPr>
                  </m:sSubPr>
                  <m:e>
                    <m:r>
                      <w:rPr>
                        <w:rFonts w:ascii="Cambria Math" w:hAnsi="Cambria Math"/>
                      </w:rPr>
                      <m:t>Line</m:t>
                    </m:r>
                  </m:e>
                  <m:sub>
                    <m:r>
                      <w:rPr>
                        <w:rFonts w:ascii="Cambria Math" w:hAnsi="Cambria Math"/>
                      </w:rPr>
                      <m:t>it</m:t>
                    </m:r>
                  </m:sub>
                </m:sSub>
              </m:den>
            </m:f>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t+</m:t>
        </m:r>
        <m:sSub>
          <m:sSubPr>
            <m:ctrlPr>
              <w:rPr>
                <w:rFonts w:ascii="Cambria Math" w:hAnsi="Cambria Math"/>
                <w:i/>
              </w:rPr>
            </m:ctrlPr>
          </m:sSubPr>
          <m:e>
            <m:r>
              <w:rPr>
                <w:rFonts w:ascii="Cambria Math" w:hAnsi="Cambria Math"/>
              </w:rPr>
              <m:t>g</m:t>
            </m:r>
          </m:e>
          <m:sub>
            <m:r>
              <w:rPr>
                <w:rFonts w:ascii="Cambria Math" w:hAnsi="Cambria Math"/>
              </w:rPr>
              <m:t>tt</m:t>
            </m:r>
          </m:sub>
        </m:sSub>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tB</m:t>
            </m:r>
          </m:sub>
        </m:sSub>
        <m:r>
          <w:rPr>
            <w:rFonts w:ascii="Cambria Math" w:hAnsi="Cambria Math"/>
          </w:rPr>
          <m:t>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Lab</m:t>
                    </m:r>
                  </m:e>
                  <m:sub>
                    <m:r>
                      <w:rPr>
                        <w:rFonts w:ascii="Cambria Math" w:hAnsi="Cambria Math"/>
                      </w:rPr>
                      <m:t>it</m:t>
                    </m:r>
                  </m:sub>
                </m:sSub>
              </m:num>
              <m:den>
                <m:sSub>
                  <m:sSubPr>
                    <m:ctrlPr>
                      <w:rPr>
                        <w:rFonts w:ascii="Cambria Math" w:hAnsi="Cambria Math"/>
                        <w:i/>
                      </w:rPr>
                    </m:ctrlPr>
                  </m:sSubPr>
                  <m:e>
                    <m:r>
                      <w:rPr>
                        <w:rFonts w:ascii="Cambria Math" w:hAnsi="Cambria Math"/>
                      </w:rPr>
                      <m:t>Li</m:t>
                    </m:r>
                    <m:r>
                      <w:rPr>
                        <w:rFonts w:ascii="Cambria Math" w:hAnsi="Cambria Math" w:cs="Cambria Math"/>
                      </w:rPr>
                      <m:t>n</m:t>
                    </m:r>
                    <m:r>
                      <w:rPr>
                        <w:rFonts w:ascii="Cambria Math" w:hAnsi="Cambria Math"/>
                      </w:rPr>
                      <m:t>e</m:t>
                    </m:r>
                  </m:e>
                  <m:sub>
                    <m:r>
                      <w:rPr>
                        <w:rFonts w:ascii="Cambria Math" w:hAnsi="Cambria Math"/>
                      </w:rPr>
                      <m:t>it</m:t>
                    </m:r>
                  </m:sub>
                </m:sSub>
              </m:den>
            </m:f>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tA</m:t>
            </m:r>
          </m:sub>
        </m:sSub>
        <m:r>
          <w:rPr>
            <w:rFonts w:ascii="Cambria Math" w:hAnsi="Cambria Math"/>
          </w:rPr>
          <m:t>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TRS</m:t>
                    </m:r>
                  </m:e>
                  <m:sub>
                    <m:r>
                      <w:rPr>
                        <w:rFonts w:ascii="Cambria Math" w:hAnsi="Cambria Math"/>
                      </w:rPr>
                      <m:t>it</m:t>
                    </m:r>
                  </m:sub>
                </m:sSub>
              </m:num>
              <m:den>
                <m:sSub>
                  <m:sSubPr>
                    <m:ctrlPr>
                      <w:rPr>
                        <w:rFonts w:ascii="Cambria Math" w:hAnsi="Cambria Math"/>
                        <w:i/>
                      </w:rPr>
                    </m:ctrlPr>
                  </m:sSubPr>
                  <m:e>
                    <m:r>
                      <w:rPr>
                        <w:rFonts w:ascii="Cambria Math" w:hAnsi="Cambria Math"/>
                      </w:rPr>
                      <m:t>Line</m:t>
                    </m:r>
                  </m:e>
                  <m:sub>
                    <m:r>
                      <w:rPr>
                        <w:rFonts w:ascii="Cambria Math" w:hAnsi="Cambria Math"/>
                      </w:rPr>
                      <m:t>it</m:t>
                    </m:r>
                  </m:sub>
                </m:sSub>
              </m:den>
            </m:f>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it</m:t>
            </m:r>
          </m:sub>
        </m:sSub>
      </m:oMath>
      <w:r w:rsidRPr="002E6018">
        <w:rPr>
          <w:rFonts w:eastAsiaTheme="minorEastAsia"/>
        </w:rPr>
        <w:t xml:space="preserve"> </w:t>
      </w:r>
    </w:p>
    <w:p w14:paraId="122178FC" w14:textId="77777777" w:rsidR="002E6018" w:rsidRPr="002E6018" w:rsidRDefault="002E6018" w:rsidP="002E6018">
      <w:pPr>
        <w:tabs>
          <w:tab w:val="right" w:pos="8789"/>
          <w:tab w:val="right" w:pos="9072"/>
        </w:tabs>
      </w:pPr>
      <w:r w:rsidRPr="002E6018">
        <w:tab/>
        <w:t>[5a]</w:t>
      </w:r>
    </w:p>
    <w:p w14:paraId="292B11B9" w14:textId="51A6C7AD" w:rsidR="002E6018" w:rsidRPr="002E6018" w:rsidRDefault="004E4213" w:rsidP="002E6018">
      <w:r>
        <w:t xml:space="preserve">Unlike the COLS approach, in an SFA assessment the residual component is broken down into </w:t>
      </w:r>
      <w:r w:rsidRPr="002E6018">
        <w:t>u</w:t>
      </w:r>
      <w:r w:rsidRPr="002E6018">
        <w:rPr>
          <w:vertAlign w:val="subscript"/>
        </w:rPr>
        <w:t>it</w:t>
      </w:r>
      <w:r>
        <w:t xml:space="preserve">, which is </w:t>
      </w:r>
      <w:r w:rsidRPr="002E6018">
        <w:t>the measure of inefficiency</w:t>
      </w:r>
      <w:r>
        <w:t xml:space="preserve">, and </w:t>
      </w:r>
      <w:r w:rsidR="002E6018" w:rsidRPr="002E6018">
        <w:t>v</w:t>
      </w:r>
      <w:r w:rsidR="002E6018" w:rsidRPr="002E6018">
        <w:rPr>
          <w:vertAlign w:val="subscript"/>
        </w:rPr>
        <w:t>it</w:t>
      </w:r>
      <w:r>
        <w:t xml:space="preserve">, which is </w:t>
      </w:r>
      <w:r w:rsidR="002E6018" w:rsidRPr="002E6018">
        <w:t>the random (noise) component</w:t>
      </w:r>
      <w:r w:rsidR="00917771">
        <w:t>, t</w:t>
      </w:r>
      <w:r w:rsidR="002E6018" w:rsidRPr="002E6018">
        <w:t>hus efficiency in the current year is given by:</w:t>
      </w:r>
    </w:p>
    <w:p w14:paraId="7453A631" w14:textId="77777777" w:rsidR="002E6018" w:rsidRPr="002E6018" w:rsidRDefault="002E6018" w:rsidP="002E6018">
      <w:pPr>
        <w:tabs>
          <w:tab w:val="left" w:pos="3119"/>
          <w:tab w:val="right" w:pos="8789"/>
        </w:tabs>
      </w:pPr>
      <w:r w:rsidRPr="002E6018">
        <w:rPr>
          <w:rFonts w:eastAsiaTheme="minorEastAsia"/>
        </w:rPr>
        <w:tab/>
      </w:r>
      <m:oMath>
        <m:sSub>
          <m:sSubPr>
            <m:ctrlPr>
              <w:rPr>
                <w:rFonts w:ascii="Cambria Math" w:hAnsi="Cambria Math"/>
                <w:i/>
              </w:rPr>
            </m:ctrlPr>
          </m:sSubPr>
          <m:e>
            <m:r>
              <w:rPr>
                <w:rFonts w:ascii="Cambria Math" w:hAnsi="Cambria Math"/>
              </w:rPr>
              <m:t>Effy</m:t>
            </m:r>
          </m:e>
          <m:sub>
            <m:r>
              <w:rPr>
                <w:rFonts w:ascii="Cambria Math" w:hAnsi="Cambria Math"/>
              </w:rPr>
              <m:t>it</m:t>
            </m:r>
          </m:sub>
        </m:sSub>
        <m:r>
          <w:rPr>
            <w:rFonts w:ascii="Cambria Math" w:hAnsi="Cambria Math"/>
          </w:rPr>
          <m:t>=exp</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it</m:t>
                </m:r>
              </m:sub>
            </m:sSub>
          </m:e>
        </m:d>
      </m:oMath>
      <w:r w:rsidRPr="002E6018">
        <w:t>.</w:t>
      </w:r>
      <w:r w:rsidRPr="002E6018">
        <w:tab/>
        <w:t>[5b]</w:t>
      </w:r>
    </w:p>
    <w:p w14:paraId="481BAAA6" w14:textId="77777777" w:rsidR="002E6018" w:rsidRPr="002E6018" w:rsidRDefault="002E6018" w:rsidP="002E6018">
      <w:r w:rsidRPr="002E6018">
        <w:t>And in the previous year s as:</w:t>
      </w:r>
    </w:p>
    <w:p w14:paraId="686E7E17" w14:textId="77777777" w:rsidR="002E6018" w:rsidRPr="002E6018" w:rsidRDefault="002E6018" w:rsidP="002E6018">
      <w:pPr>
        <w:tabs>
          <w:tab w:val="left" w:pos="3119"/>
          <w:tab w:val="right" w:pos="8789"/>
        </w:tabs>
      </w:pPr>
      <w:r w:rsidRPr="002E6018">
        <w:rPr>
          <w:rFonts w:eastAsiaTheme="minorEastAsia"/>
        </w:rPr>
        <w:tab/>
      </w:r>
      <m:oMath>
        <m:sSub>
          <m:sSubPr>
            <m:ctrlPr>
              <w:rPr>
                <w:rFonts w:ascii="Cambria Math" w:hAnsi="Cambria Math"/>
                <w:i/>
              </w:rPr>
            </m:ctrlPr>
          </m:sSubPr>
          <m:e>
            <m:r>
              <w:rPr>
                <w:rFonts w:ascii="Cambria Math" w:hAnsi="Cambria Math"/>
              </w:rPr>
              <m:t>Effy</m:t>
            </m:r>
          </m:e>
          <m:sub>
            <m:r>
              <w:rPr>
                <w:rFonts w:ascii="Cambria Math" w:hAnsi="Cambria Math"/>
              </w:rPr>
              <m:t>is</m:t>
            </m:r>
          </m:sub>
        </m:sSub>
        <m:r>
          <w:rPr>
            <w:rFonts w:ascii="Cambria Math" w:hAnsi="Cambria Math"/>
          </w:rPr>
          <m:t>=exp</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is</m:t>
                </m:r>
              </m:sub>
            </m:sSub>
          </m:e>
        </m:d>
      </m:oMath>
      <w:r w:rsidRPr="002E6018">
        <w:t>.</w:t>
      </w:r>
      <w:r w:rsidRPr="002E6018">
        <w:tab/>
        <w:t>[5c]</w:t>
      </w:r>
    </w:p>
    <w:p w14:paraId="71E825C0" w14:textId="77777777" w:rsidR="002E6018" w:rsidRPr="002E6018" w:rsidRDefault="002E6018" w:rsidP="002E6018">
      <w:r w:rsidRPr="002E6018">
        <w:t>Hence efficiency change is:</w:t>
      </w:r>
    </w:p>
    <w:p w14:paraId="71FD1814" w14:textId="4A886069" w:rsidR="002E6018" w:rsidRPr="002E6018" w:rsidRDefault="006829FD" w:rsidP="002E6018">
      <m:oMathPara>
        <m:oMath>
          <m:sSub>
            <m:sSubPr>
              <m:ctrlPr>
                <w:rPr>
                  <w:rFonts w:ascii="Cambria Math" w:hAnsi="Cambria Math"/>
                  <w:i/>
                </w:rPr>
              </m:ctrlPr>
            </m:sSubPr>
            <m:e>
              <m:r>
                <w:rPr>
                  <w:rFonts w:ascii="Cambria Math" w:hAnsi="Cambria Math"/>
                </w:rPr>
                <m:t>EC</m:t>
              </m:r>
            </m:e>
            <m:sub>
              <m:r>
                <w:rPr>
                  <w:rFonts w:ascii="Cambria Math" w:hAnsi="Cambria Math"/>
                </w:rPr>
                <m:t>it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Effy</m:t>
                  </m:r>
                </m:e>
                <m:sub>
                  <m:r>
                    <w:rPr>
                      <w:rFonts w:ascii="Cambria Math" w:hAnsi="Cambria Math"/>
                    </w:rPr>
                    <m:t>it</m:t>
                  </m:r>
                </m:sub>
              </m:sSub>
            </m:num>
            <m:den>
              <m:sSub>
                <m:sSubPr>
                  <m:ctrlPr>
                    <w:rPr>
                      <w:rFonts w:ascii="Cambria Math" w:hAnsi="Cambria Math"/>
                      <w:i/>
                    </w:rPr>
                  </m:ctrlPr>
                </m:sSubPr>
                <m:e>
                  <m:r>
                    <w:rPr>
                      <w:rFonts w:ascii="Cambria Math" w:hAnsi="Cambria Math"/>
                    </w:rPr>
                    <m:t>Effy</m:t>
                  </m:r>
                </m:e>
                <m:sub>
                  <m:r>
                    <w:rPr>
                      <w:rFonts w:ascii="Cambria Math" w:hAnsi="Cambria Math"/>
                    </w:rPr>
                    <m:t>is</m:t>
                  </m:r>
                </m:sub>
              </m:sSub>
            </m:den>
          </m:f>
        </m:oMath>
      </m:oMathPara>
    </w:p>
    <w:p w14:paraId="1591B5AC" w14:textId="77777777" w:rsidR="002E6018" w:rsidRPr="002E6018" w:rsidRDefault="002E6018" w:rsidP="002E6018"/>
    <w:p w14:paraId="11F34B73" w14:textId="6FE01A36" w:rsidR="002E6018" w:rsidRDefault="002E6018" w:rsidP="002E6018">
      <w:r w:rsidRPr="002E6018">
        <w:t xml:space="preserve">TC and TFP are derived in exactly the same manner as for the COLS case. </w:t>
      </w:r>
    </w:p>
    <w:p w14:paraId="66A66D6A" w14:textId="6D736C63" w:rsidR="00DE3751" w:rsidRDefault="00DE3751" w:rsidP="002E6018">
      <w:r>
        <w:t>To clarify, in a COLS assessment</w:t>
      </w:r>
      <w:r w:rsidR="004C569A">
        <w:t xml:space="preserve"> all of the residual is assumed to be due to inefficiency, whilst in the SFA some of this is attributed to a stochastic element.  To considerably </w:t>
      </w:r>
      <w:r w:rsidR="0051116F">
        <w:t>simplify</w:t>
      </w:r>
      <w:r w:rsidR="004C569A">
        <w:t xml:space="preserve">, </w:t>
      </w:r>
      <w:r w:rsidR="00246CA0">
        <w:t xml:space="preserve">in an SFA assessment </w:t>
      </w:r>
      <w:r w:rsidR="004C569A">
        <w:t xml:space="preserve">a distribution is assumed of the </w:t>
      </w:r>
      <w:r w:rsidR="0051116F">
        <w:t>(in)</w:t>
      </w:r>
      <w:r w:rsidR="004C569A">
        <w:t xml:space="preserve">efficiency, in this case a half normal, and the stochastic term used to best fit that </w:t>
      </w:r>
      <w:r w:rsidR="00917771">
        <w:t>(in)</w:t>
      </w:r>
      <w:r w:rsidR="004C569A">
        <w:t>efficiency distribution.</w:t>
      </w:r>
    </w:p>
    <w:p w14:paraId="49B8E1A8" w14:textId="77777777" w:rsidR="00A30676" w:rsidRPr="002E6018" w:rsidRDefault="00A30676" w:rsidP="002E6018"/>
    <w:p w14:paraId="2A0A78FC" w14:textId="0FE29D54" w:rsidR="00A30676" w:rsidRDefault="00917771" w:rsidP="00A30676">
      <w:pPr>
        <w:pStyle w:val="Heading2"/>
      </w:pPr>
      <w:r>
        <w:t xml:space="preserve">6. </w:t>
      </w:r>
      <w:r w:rsidR="00A30676">
        <w:t>TFP Results</w:t>
      </w:r>
    </w:p>
    <w:p w14:paraId="5A397806" w14:textId="77777777" w:rsidR="00A30676" w:rsidRDefault="00A30676" w:rsidP="00A30676">
      <w:pPr>
        <w:pStyle w:val="Heading3"/>
      </w:pPr>
    </w:p>
    <w:p w14:paraId="6ED01DEE" w14:textId="03BA5A7D" w:rsidR="00A30676" w:rsidRDefault="00917771" w:rsidP="00A30676">
      <w:pPr>
        <w:pStyle w:val="Heading3"/>
      </w:pPr>
      <w:r>
        <w:t xml:space="preserve">6.1 </w:t>
      </w:r>
      <w:r w:rsidR="00A30676">
        <w:t>DEA Malmquist Results</w:t>
      </w:r>
    </w:p>
    <w:p w14:paraId="4119311E" w14:textId="5BC6F82E" w:rsidR="00A30676" w:rsidRDefault="00A30676" w:rsidP="00A30676">
      <w:r>
        <w:t xml:space="preserve">British passenger rail Malmquist productivity was assessed first through the common DEA approach to efficiency/TFP assessment using the DEAP computer package (Coelli, 1996).  The results are presented in Table </w:t>
      </w:r>
      <w:r w:rsidR="00D86089">
        <w:t>1</w:t>
      </w:r>
      <w:r w:rsidR="00281641">
        <w:t>a</w:t>
      </w:r>
      <w:r>
        <w:t xml:space="preserve"> and associated figure </w:t>
      </w:r>
      <w:r w:rsidR="003D0E85">
        <w:t>2</w:t>
      </w:r>
      <w:r>
        <w:t>a.</w:t>
      </w:r>
    </w:p>
    <w:p w14:paraId="4768995F" w14:textId="77777777" w:rsidR="00917771" w:rsidRDefault="00917771">
      <w:r>
        <w:br w:type="page"/>
      </w:r>
    </w:p>
    <w:p w14:paraId="7E7E16E6" w14:textId="1F2E1F04" w:rsidR="00A30676" w:rsidRDefault="00A30676" w:rsidP="00A30676">
      <w:r>
        <w:t xml:space="preserve">Table </w:t>
      </w:r>
      <w:r w:rsidR="00D86089">
        <w:t>1</w:t>
      </w:r>
      <w:r w:rsidR="00281641">
        <w:t>a</w:t>
      </w:r>
      <w:r>
        <w:t>: Total Factor Productivity DEA Efficiency Based Estimates, British Passenger Rail, 1998 to 2015.</w:t>
      </w:r>
    </w:p>
    <w:tbl>
      <w:tblPr>
        <w:tblW w:w="7520" w:type="dxa"/>
        <w:tblLook w:val="04A0" w:firstRow="1" w:lastRow="0" w:firstColumn="1" w:lastColumn="0" w:noHBand="0" w:noVBand="1"/>
      </w:tblPr>
      <w:tblGrid>
        <w:gridCol w:w="1760"/>
        <w:gridCol w:w="960"/>
        <w:gridCol w:w="960"/>
        <w:gridCol w:w="960"/>
        <w:gridCol w:w="960"/>
        <w:gridCol w:w="960"/>
        <w:gridCol w:w="960"/>
      </w:tblGrid>
      <w:tr w:rsidR="00A30676" w:rsidRPr="00321EBA" w14:paraId="3D4EDA23" w14:textId="77777777" w:rsidTr="003D0E85">
        <w:trPr>
          <w:trHeight w:val="288"/>
        </w:trPr>
        <w:tc>
          <w:tcPr>
            <w:tcW w:w="1760" w:type="dxa"/>
            <w:tcBorders>
              <w:top w:val="single" w:sz="4" w:space="0" w:color="auto"/>
              <w:left w:val="single" w:sz="4" w:space="0" w:color="auto"/>
              <w:bottom w:val="nil"/>
              <w:right w:val="single" w:sz="4" w:space="0" w:color="auto"/>
            </w:tcBorders>
            <w:shd w:val="clear" w:color="auto" w:fill="auto"/>
            <w:noWrap/>
            <w:vAlign w:val="bottom"/>
            <w:hideMark/>
          </w:tcPr>
          <w:p w14:paraId="46416EF0"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Year</w:t>
            </w:r>
          </w:p>
        </w:tc>
        <w:tc>
          <w:tcPr>
            <w:tcW w:w="960" w:type="dxa"/>
            <w:tcBorders>
              <w:top w:val="single" w:sz="4" w:space="0" w:color="auto"/>
              <w:left w:val="nil"/>
              <w:bottom w:val="nil"/>
              <w:right w:val="nil"/>
            </w:tcBorders>
            <w:shd w:val="clear" w:color="auto" w:fill="auto"/>
            <w:noWrap/>
            <w:vAlign w:val="bottom"/>
            <w:hideMark/>
          </w:tcPr>
          <w:p w14:paraId="5749D0EA"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Annual</w:t>
            </w:r>
          </w:p>
        </w:tc>
        <w:tc>
          <w:tcPr>
            <w:tcW w:w="960" w:type="dxa"/>
            <w:tcBorders>
              <w:top w:val="single" w:sz="4" w:space="0" w:color="auto"/>
              <w:left w:val="nil"/>
              <w:bottom w:val="nil"/>
              <w:right w:val="nil"/>
            </w:tcBorders>
            <w:shd w:val="clear" w:color="auto" w:fill="auto"/>
            <w:noWrap/>
            <w:vAlign w:val="bottom"/>
            <w:hideMark/>
          </w:tcPr>
          <w:p w14:paraId="45E09825"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14:paraId="543995F0"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 </w:t>
            </w:r>
          </w:p>
        </w:tc>
        <w:tc>
          <w:tcPr>
            <w:tcW w:w="1920" w:type="dxa"/>
            <w:gridSpan w:val="2"/>
            <w:tcBorders>
              <w:top w:val="single" w:sz="4" w:space="0" w:color="auto"/>
              <w:left w:val="nil"/>
              <w:bottom w:val="nil"/>
              <w:right w:val="nil"/>
            </w:tcBorders>
            <w:shd w:val="clear" w:color="auto" w:fill="auto"/>
            <w:noWrap/>
            <w:vAlign w:val="bottom"/>
            <w:hideMark/>
          </w:tcPr>
          <w:p w14:paraId="4039F181"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Cumulative</w:t>
            </w:r>
          </w:p>
        </w:tc>
        <w:tc>
          <w:tcPr>
            <w:tcW w:w="960" w:type="dxa"/>
            <w:tcBorders>
              <w:top w:val="single" w:sz="4" w:space="0" w:color="auto"/>
              <w:left w:val="nil"/>
              <w:bottom w:val="nil"/>
              <w:right w:val="single" w:sz="4" w:space="0" w:color="auto"/>
            </w:tcBorders>
            <w:shd w:val="clear" w:color="auto" w:fill="auto"/>
            <w:noWrap/>
            <w:vAlign w:val="bottom"/>
            <w:hideMark/>
          </w:tcPr>
          <w:p w14:paraId="09F2A920"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 </w:t>
            </w:r>
          </w:p>
        </w:tc>
      </w:tr>
      <w:tr w:rsidR="00A30676" w:rsidRPr="00321EBA" w14:paraId="462B2F8E" w14:textId="77777777" w:rsidTr="003D0E85">
        <w:trPr>
          <w:trHeight w:val="288"/>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5133C52"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nil"/>
            </w:tcBorders>
            <w:shd w:val="clear" w:color="auto" w:fill="auto"/>
            <w:noWrap/>
            <w:vAlign w:val="bottom"/>
            <w:hideMark/>
          </w:tcPr>
          <w:p w14:paraId="1DFDD3D5"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EC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45524"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3319D8"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TFP</w:t>
            </w:r>
          </w:p>
        </w:tc>
        <w:tc>
          <w:tcPr>
            <w:tcW w:w="960" w:type="dxa"/>
            <w:tcBorders>
              <w:top w:val="single" w:sz="4" w:space="0" w:color="auto"/>
              <w:left w:val="nil"/>
              <w:bottom w:val="single" w:sz="4" w:space="0" w:color="auto"/>
              <w:right w:val="nil"/>
            </w:tcBorders>
            <w:shd w:val="clear" w:color="auto" w:fill="auto"/>
            <w:noWrap/>
            <w:vAlign w:val="bottom"/>
            <w:hideMark/>
          </w:tcPr>
          <w:p w14:paraId="15737685"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EC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69A52"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AAF2A2"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TFP</w:t>
            </w:r>
          </w:p>
        </w:tc>
      </w:tr>
      <w:tr w:rsidR="00A30676" w:rsidRPr="00321EBA" w14:paraId="17266D7B"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01CC3A6C"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1998</w:t>
            </w:r>
          </w:p>
        </w:tc>
        <w:tc>
          <w:tcPr>
            <w:tcW w:w="960" w:type="dxa"/>
            <w:tcBorders>
              <w:top w:val="nil"/>
              <w:left w:val="single" w:sz="4" w:space="0" w:color="auto"/>
              <w:bottom w:val="nil"/>
              <w:right w:val="nil"/>
            </w:tcBorders>
            <w:shd w:val="clear" w:color="auto" w:fill="auto"/>
            <w:noWrap/>
            <w:vAlign w:val="bottom"/>
            <w:hideMark/>
          </w:tcPr>
          <w:p w14:paraId="12EA00ED"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1.0050</w:t>
            </w:r>
          </w:p>
        </w:tc>
        <w:tc>
          <w:tcPr>
            <w:tcW w:w="960" w:type="dxa"/>
            <w:tcBorders>
              <w:top w:val="nil"/>
              <w:left w:val="single" w:sz="4" w:space="0" w:color="auto"/>
              <w:bottom w:val="nil"/>
              <w:right w:val="single" w:sz="4" w:space="0" w:color="auto"/>
            </w:tcBorders>
            <w:shd w:val="clear" w:color="auto" w:fill="auto"/>
            <w:noWrap/>
            <w:vAlign w:val="bottom"/>
            <w:hideMark/>
          </w:tcPr>
          <w:p w14:paraId="363246B6"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1.0146</w:t>
            </w:r>
          </w:p>
        </w:tc>
        <w:tc>
          <w:tcPr>
            <w:tcW w:w="960" w:type="dxa"/>
            <w:tcBorders>
              <w:top w:val="nil"/>
              <w:left w:val="nil"/>
              <w:bottom w:val="nil"/>
              <w:right w:val="single" w:sz="4" w:space="0" w:color="auto"/>
            </w:tcBorders>
            <w:shd w:val="clear" w:color="auto" w:fill="auto"/>
            <w:noWrap/>
            <w:vAlign w:val="bottom"/>
            <w:hideMark/>
          </w:tcPr>
          <w:p w14:paraId="41CF90F4"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1.0196</w:t>
            </w:r>
          </w:p>
        </w:tc>
        <w:tc>
          <w:tcPr>
            <w:tcW w:w="960" w:type="dxa"/>
            <w:tcBorders>
              <w:top w:val="nil"/>
              <w:left w:val="nil"/>
              <w:bottom w:val="nil"/>
              <w:right w:val="nil"/>
            </w:tcBorders>
            <w:shd w:val="clear" w:color="auto" w:fill="auto"/>
            <w:noWrap/>
            <w:vAlign w:val="bottom"/>
            <w:hideMark/>
          </w:tcPr>
          <w:p w14:paraId="52F8BC80"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1.0050</w:t>
            </w:r>
          </w:p>
        </w:tc>
        <w:tc>
          <w:tcPr>
            <w:tcW w:w="960" w:type="dxa"/>
            <w:tcBorders>
              <w:top w:val="nil"/>
              <w:left w:val="single" w:sz="4" w:space="0" w:color="auto"/>
              <w:bottom w:val="nil"/>
              <w:right w:val="single" w:sz="4" w:space="0" w:color="auto"/>
            </w:tcBorders>
            <w:shd w:val="clear" w:color="auto" w:fill="auto"/>
            <w:noWrap/>
            <w:vAlign w:val="bottom"/>
            <w:hideMark/>
          </w:tcPr>
          <w:p w14:paraId="2B646EDD"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1.0146</w:t>
            </w:r>
          </w:p>
        </w:tc>
        <w:tc>
          <w:tcPr>
            <w:tcW w:w="960" w:type="dxa"/>
            <w:tcBorders>
              <w:top w:val="nil"/>
              <w:left w:val="nil"/>
              <w:bottom w:val="nil"/>
              <w:right w:val="single" w:sz="4" w:space="0" w:color="auto"/>
            </w:tcBorders>
            <w:shd w:val="clear" w:color="auto" w:fill="auto"/>
            <w:noWrap/>
            <w:vAlign w:val="bottom"/>
            <w:hideMark/>
          </w:tcPr>
          <w:p w14:paraId="46FDF17F"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1.0196</w:t>
            </w:r>
          </w:p>
        </w:tc>
      </w:tr>
      <w:tr w:rsidR="00A30676" w:rsidRPr="00321EBA" w14:paraId="5E818BB1"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3842C114"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1999</w:t>
            </w:r>
          </w:p>
        </w:tc>
        <w:tc>
          <w:tcPr>
            <w:tcW w:w="960" w:type="dxa"/>
            <w:tcBorders>
              <w:top w:val="nil"/>
              <w:left w:val="single" w:sz="4" w:space="0" w:color="auto"/>
              <w:bottom w:val="nil"/>
              <w:right w:val="nil"/>
            </w:tcBorders>
            <w:shd w:val="clear" w:color="auto" w:fill="auto"/>
            <w:noWrap/>
            <w:vAlign w:val="bottom"/>
            <w:hideMark/>
          </w:tcPr>
          <w:p w14:paraId="73F5FB59"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0.9641</w:t>
            </w:r>
          </w:p>
        </w:tc>
        <w:tc>
          <w:tcPr>
            <w:tcW w:w="960" w:type="dxa"/>
            <w:tcBorders>
              <w:top w:val="nil"/>
              <w:left w:val="single" w:sz="4" w:space="0" w:color="auto"/>
              <w:bottom w:val="nil"/>
              <w:right w:val="single" w:sz="4" w:space="0" w:color="auto"/>
            </w:tcBorders>
            <w:shd w:val="clear" w:color="auto" w:fill="auto"/>
            <w:noWrap/>
            <w:vAlign w:val="bottom"/>
            <w:hideMark/>
          </w:tcPr>
          <w:p w14:paraId="3EB8726E"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1.0768</w:t>
            </w:r>
          </w:p>
        </w:tc>
        <w:tc>
          <w:tcPr>
            <w:tcW w:w="960" w:type="dxa"/>
            <w:tcBorders>
              <w:top w:val="nil"/>
              <w:left w:val="nil"/>
              <w:bottom w:val="nil"/>
              <w:right w:val="single" w:sz="4" w:space="0" w:color="auto"/>
            </w:tcBorders>
            <w:shd w:val="clear" w:color="auto" w:fill="auto"/>
            <w:noWrap/>
            <w:vAlign w:val="bottom"/>
            <w:hideMark/>
          </w:tcPr>
          <w:p w14:paraId="450AAB6B"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1.0383</w:t>
            </w:r>
          </w:p>
        </w:tc>
        <w:tc>
          <w:tcPr>
            <w:tcW w:w="960" w:type="dxa"/>
            <w:tcBorders>
              <w:top w:val="nil"/>
              <w:left w:val="nil"/>
              <w:bottom w:val="nil"/>
              <w:right w:val="nil"/>
            </w:tcBorders>
            <w:shd w:val="clear" w:color="auto" w:fill="auto"/>
            <w:noWrap/>
            <w:vAlign w:val="bottom"/>
            <w:hideMark/>
          </w:tcPr>
          <w:p w14:paraId="455F1052"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0.9689</w:t>
            </w:r>
          </w:p>
        </w:tc>
        <w:tc>
          <w:tcPr>
            <w:tcW w:w="960" w:type="dxa"/>
            <w:tcBorders>
              <w:top w:val="nil"/>
              <w:left w:val="single" w:sz="4" w:space="0" w:color="auto"/>
              <w:bottom w:val="nil"/>
              <w:right w:val="single" w:sz="4" w:space="0" w:color="auto"/>
            </w:tcBorders>
            <w:shd w:val="clear" w:color="auto" w:fill="auto"/>
            <w:noWrap/>
            <w:vAlign w:val="bottom"/>
            <w:hideMark/>
          </w:tcPr>
          <w:p w14:paraId="6B01FB91"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1.0926</w:t>
            </w:r>
          </w:p>
        </w:tc>
        <w:tc>
          <w:tcPr>
            <w:tcW w:w="960" w:type="dxa"/>
            <w:tcBorders>
              <w:top w:val="nil"/>
              <w:left w:val="nil"/>
              <w:bottom w:val="nil"/>
              <w:right w:val="single" w:sz="4" w:space="0" w:color="auto"/>
            </w:tcBorders>
            <w:shd w:val="clear" w:color="auto" w:fill="auto"/>
            <w:noWrap/>
            <w:vAlign w:val="bottom"/>
            <w:hideMark/>
          </w:tcPr>
          <w:p w14:paraId="461CEB74"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1.0586</w:t>
            </w:r>
          </w:p>
        </w:tc>
      </w:tr>
      <w:tr w:rsidR="00A30676" w:rsidRPr="00321EBA" w14:paraId="148CE587"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2AD8FB3D"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2000</w:t>
            </w:r>
          </w:p>
        </w:tc>
        <w:tc>
          <w:tcPr>
            <w:tcW w:w="960" w:type="dxa"/>
            <w:tcBorders>
              <w:top w:val="nil"/>
              <w:left w:val="single" w:sz="4" w:space="0" w:color="auto"/>
              <w:bottom w:val="nil"/>
              <w:right w:val="nil"/>
            </w:tcBorders>
            <w:shd w:val="clear" w:color="auto" w:fill="auto"/>
            <w:noWrap/>
            <w:vAlign w:val="bottom"/>
            <w:hideMark/>
          </w:tcPr>
          <w:p w14:paraId="612B2940"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1.0465</w:t>
            </w:r>
          </w:p>
        </w:tc>
        <w:tc>
          <w:tcPr>
            <w:tcW w:w="960" w:type="dxa"/>
            <w:tcBorders>
              <w:top w:val="nil"/>
              <w:left w:val="single" w:sz="4" w:space="0" w:color="auto"/>
              <w:bottom w:val="nil"/>
              <w:right w:val="single" w:sz="4" w:space="0" w:color="auto"/>
            </w:tcBorders>
            <w:shd w:val="clear" w:color="auto" w:fill="auto"/>
            <w:noWrap/>
            <w:vAlign w:val="bottom"/>
            <w:hideMark/>
          </w:tcPr>
          <w:p w14:paraId="4FDA7123"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1.0025</w:t>
            </w:r>
          </w:p>
        </w:tc>
        <w:tc>
          <w:tcPr>
            <w:tcW w:w="960" w:type="dxa"/>
            <w:tcBorders>
              <w:top w:val="nil"/>
              <w:left w:val="nil"/>
              <w:bottom w:val="nil"/>
              <w:right w:val="single" w:sz="4" w:space="0" w:color="auto"/>
            </w:tcBorders>
            <w:shd w:val="clear" w:color="auto" w:fill="auto"/>
            <w:noWrap/>
            <w:vAlign w:val="bottom"/>
            <w:hideMark/>
          </w:tcPr>
          <w:p w14:paraId="0A333358"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1.0489</w:t>
            </w:r>
          </w:p>
        </w:tc>
        <w:tc>
          <w:tcPr>
            <w:tcW w:w="960" w:type="dxa"/>
            <w:tcBorders>
              <w:top w:val="nil"/>
              <w:left w:val="nil"/>
              <w:bottom w:val="nil"/>
              <w:right w:val="nil"/>
            </w:tcBorders>
            <w:shd w:val="clear" w:color="auto" w:fill="auto"/>
            <w:noWrap/>
            <w:vAlign w:val="bottom"/>
            <w:hideMark/>
          </w:tcPr>
          <w:p w14:paraId="69457276"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1.0140</w:t>
            </w:r>
          </w:p>
        </w:tc>
        <w:tc>
          <w:tcPr>
            <w:tcW w:w="960" w:type="dxa"/>
            <w:tcBorders>
              <w:top w:val="nil"/>
              <w:left w:val="single" w:sz="4" w:space="0" w:color="auto"/>
              <w:bottom w:val="nil"/>
              <w:right w:val="single" w:sz="4" w:space="0" w:color="auto"/>
            </w:tcBorders>
            <w:shd w:val="clear" w:color="auto" w:fill="auto"/>
            <w:noWrap/>
            <w:vAlign w:val="bottom"/>
            <w:hideMark/>
          </w:tcPr>
          <w:p w14:paraId="2844FB40"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1.0952</w:t>
            </w:r>
          </w:p>
        </w:tc>
        <w:tc>
          <w:tcPr>
            <w:tcW w:w="960" w:type="dxa"/>
            <w:tcBorders>
              <w:top w:val="nil"/>
              <w:left w:val="nil"/>
              <w:bottom w:val="nil"/>
              <w:right w:val="single" w:sz="4" w:space="0" w:color="auto"/>
            </w:tcBorders>
            <w:shd w:val="clear" w:color="auto" w:fill="auto"/>
            <w:noWrap/>
            <w:vAlign w:val="bottom"/>
            <w:hideMark/>
          </w:tcPr>
          <w:p w14:paraId="79678CAE"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1.1104</w:t>
            </w:r>
          </w:p>
        </w:tc>
      </w:tr>
      <w:tr w:rsidR="00A30676" w:rsidRPr="00321EBA" w14:paraId="227E7B83"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7C4E1852"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2001</w:t>
            </w:r>
          </w:p>
        </w:tc>
        <w:tc>
          <w:tcPr>
            <w:tcW w:w="960" w:type="dxa"/>
            <w:tcBorders>
              <w:top w:val="nil"/>
              <w:left w:val="single" w:sz="4" w:space="0" w:color="auto"/>
              <w:bottom w:val="nil"/>
              <w:right w:val="nil"/>
            </w:tcBorders>
            <w:shd w:val="clear" w:color="auto" w:fill="auto"/>
            <w:noWrap/>
            <w:vAlign w:val="bottom"/>
            <w:hideMark/>
          </w:tcPr>
          <w:p w14:paraId="5B080F67"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1.0417</w:t>
            </w:r>
          </w:p>
        </w:tc>
        <w:tc>
          <w:tcPr>
            <w:tcW w:w="960" w:type="dxa"/>
            <w:tcBorders>
              <w:top w:val="nil"/>
              <w:left w:val="single" w:sz="4" w:space="0" w:color="auto"/>
              <w:bottom w:val="nil"/>
              <w:right w:val="single" w:sz="4" w:space="0" w:color="auto"/>
            </w:tcBorders>
            <w:shd w:val="clear" w:color="auto" w:fill="auto"/>
            <w:noWrap/>
            <w:vAlign w:val="bottom"/>
            <w:hideMark/>
          </w:tcPr>
          <w:p w14:paraId="5F43C7F2"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0.9609</w:t>
            </w:r>
          </w:p>
        </w:tc>
        <w:tc>
          <w:tcPr>
            <w:tcW w:w="960" w:type="dxa"/>
            <w:tcBorders>
              <w:top w:val="nil"/>
              <w:left w:val="nil"/>
              <w:bottom w:val="nil"/>
              <w:right w:val="single" w:sz="4" w:space="0" w:color="auto"/>
            </w:tcBorders>
            <w:shd w:val="clear" w:color="auto" w:fill="auto"/>
            <w:noWrap/>
            <w:vAlign w:val="bottom"/>
            <w:hideMark/>
          </w:tcPr>
          <w:p w14:paraId="465A6D79"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1.0009</w:t>
            </w:r>
          </w:p>
        </w:tc>
        <w:tc>
          <w:tcPr>
            <w:tcW w:w="960" w:type="dxa"/>
            <w:tcBorders>
              <w:top w:val="nil"/>
              <w:left w:val="nil"/>
              <w:bottom w:val="nil"/>
              <w:right w:val="nil"/>
            </w:tcBorders>
            <w:shd w:val="clear" w:color="auto" w:fill="auto"/>
            <w:noWrap/>
            <w:vAlign w:val="bottom"/>
            <w:hideMark/>
          </w:tcPr>
          <w:p w14:paraId="16269DA4"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1.0562</w:t>
            </w:r>
          </w:p>
        </w:tc>
        <w:tc>
          <w:tcPr>
            <w:tcW w:w="960" w:type="dxa"/>
            <w:tcBorders>
              <w:top w:val="nil"/>
              <w:left w:val="single" w:sz="4" w:space="0" w:color="auto"/>
              <w:bottom w:val="nil"/>
              <w:right w:val="single" w:sz="4" w:space="0" w:color="auto"/>
            </w:tcBorders>
            <w:shd w:val="clear" w:color="auto" w:fill="auto"/>
            <w:noWrap/>
            <w:vAlign w:val="bottom"/>
            <w:hideMark/>
          </w:tcPr>
          <w:p w14:paraId="627A5885"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1.0524</w:t>
            </w:r>
          </w:p>
        </w:tc>
        <w:tc>
          <w:tcPr>
            <w:tcW w:w="960" w:type="dxa"/>
            <w:tcBorders>
              <w:top w:val="nil"/>
              <w:left w:val="nil"/>
              <w:bottom w:val="nil"/>
              <w:right w:val="single" w:sz="4" w:space="0" w:color="auto"/>
            </w:tcBorders>
            <w:shd w:val="clear" w:color="auto" w:fill="auto"/>
            <w:noWrap/>
            <w:vAlign w:val="bottom"/>
            <w:hideMark/>
          </w:tcPr>
          <w:p w14:paraId="0AA2CC26"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1.1114</w:t>
            </w:r>
          </w:p>
        </w:tc>
      </w:tr>
      <w:tr w:rsidR="00A30676" w:rsidRPr="00321EBA" w14:paraId="2749E286"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695522C9"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2002</w:t>
            </w:r>
          </w:p>
        </w:tc>
        <w:tc>
          <w:tcPr>
            <w:tcW w:w="960" w:type="dxa"/>
            <w:tcBorders>
              <w:top w:val="nil"/>
              <w:left w:val="single" w:sz="4" w:space="0" w:color="auto"/>
              <w:bottom w:val="nil"/>
              <w:right w:val="nil"/>
            </w:tcBorders>
            <w:shd w:val="clear" w:color="auto" w:fill="auto"/>
            <w:noWrap/>
            <w:vAlign w:val="bottom"/>
            <w:hideMark/>
          </w:tcPr>
          <w:p w14:paraId="02245CD4"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0.9468</w:t>
            </w:r>
          </w:p>
        </w:tc>
        <w:tc>
          <w:tcPr>
            <w:tcW w:w="960" w:type="dxa"/>
            <w:tcBorders>
              <w:top w:val="nil"/>
              <w:left w:val="single" w:sz="4" w:space="0" w:color="auto"/>
              <w:bottom w:val="nil"/>
              <w:right w:val="single" w:sz="4" w:space="0" w:color="auto"/>
            </w:tcBorders>
            <w:shd w:val="clear" w:color="auto" w:fill="auto"/>
            <w:noWrap/>
            <w:vAlign w:val="bottom"/>
            <w:hideMark/>
          </w:tcPr>
          <w:p w14:paraId="4809E265"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1.0383</w:t>
            </w:r>
          </w:p>
        </w:tc>
        <w:tc>
          <w:tcPr>
            <w:tcW w:w="960" w:type="dxa"/>
            <w:tcBorders>
              <w:top w:val="nil"/>
              <w:left w:val="nil"/>
              <w:bottom w:val="nil"/>
              <w:right w:val="single" w:sz="4" w:space="0" w:color="auto"/>
            </w:tcBorders>
            <w:shd w:val="clear" w:color="auto" w:fill="auto"/>
            <w:noWrap/>
            <w:vAlign w:val="bottom"/>
            <w:hideMark/>
          </w:tcPr>
          <w:p w14:paraId="3E3F0B12"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0.9859</w:t>
            </w:r>
          </w:p>
        </w:tc>
        <w:tc>
          <w:tcPr>
            <w:tcW w:w="960" w:type="dxa"/>
            <w:tcBorders>
              <w:top w:val="nil"/>
              <w:left w:val="nil"/>
              <w:bottom w:val="nil"/>
              <w:right w:val="nil"/>
            </w:tcBorders>
            <w:shd w:val="clear" w:color="auto" w:fill="auto"/>
            <w:noWrap/>
            <w:vAlign w:val="bottom"/>
            <w:hideMark/>
          </w:tcPr>
          <w:p w14:paraId="13987BDF"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1.0001</w:t>
            </w:r>
          </w:p>
        </w:tc>
        <w:tc>
          <w:tcPr>
            <w:tcW w:w="960" w:type="dxa"/>
            <w:tcBorders>
              <w:top w:val="nil"/>
              <w:left w:val="single" w:sz="4" w:space="0" w:color="auto"/>
              <w:bottom w:val="nil"/>
              <w:right w:val="single" w:sz="4" w:space="0" w:color="auto"/>
            </w:tcBorders>
            <w:shd w:val="clear" w:color="auto" w:fill="auto"/>
            <w:noWrap/>
            <w:vAlign w:val="bottom"/>
            <w:hideMark/>
          </w:tcPr>
          <w:p w14:paraId="5BD4D4AE"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1.0927</w:t>
            </w:r>
          </w:p>
        </w:tc>
        <w:tc>
          <w:tcPr>
            <w:tcW w:w="960" w:type="dxa"/>
            <w:tcBorders>
              <w:top w:val="nil"/>
              <w:left w:val="nil"/>
              <w:bottom w:val="nil"/>
              <w:right w:val="single" w:sz="4" w:space="0" w:color="auto"/>
            </w:tcBorders>
            <w:shd w:val="clear" w:color="auto" w:fill="auto"/>
            <w:noWrap/>
            <w:vAlign w:val="bottom"/>
            <w:hideMark/>
          </w:tcPr>
          <w:p w14:paraId="0EEFF9AC"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1.0957</w:t>
            </w:r>
          </w:p>
        </w:tc>
      </w:tr>
      <w:tr w:rsidR="00A30676" w:rsidRPr="00321EBA" w14:paraId="16757AA5"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5883FA82"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2003</w:t>
            </w:r>
          </w:p>
        </w:tc>
        <w:tc>
          <w:tcPr>
            <w:tcW w:w="960" w:type="dxa"/>
            <w:tcBorders>
              <w:top w:val="nil"/>
              <w:left w:val="single" w:sz="4" w:space="0" w:color="auto"/>
              <w:bottom w:val="nil"/>
              <w:right w:val="nil"/>
            </w:tcBorders>
            <w:shd w:val="clear" w:color="auto" w:fill="auto"/>
            <w:noWrap/>
            <w:vAlign w:val="bottom"/>
            <w:hideMark/>
          </w:tcPr>
          <w:p w14:paraId="5A2E202C"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1.0426</w:t>
            </w:r>
          </w:p>
        </w:tc>
        <w:tc>
          <w:tcPr>
            <w:tcW w:w="960" w:type="dxa"/>
            <w:tcBorders>
              <w:top w:val="nil"/>
              <w:left w:val="single" w:sz="4" w:space="0" w:color="auto"/>
              <w:bottom w:val="nil"/>
              <w:right w:val="single" w:sz="4" w:space="0" w:color="auto"/>
            </w:tcBorders>
            <w:shd w:val="clear" w:color="auto" w:fill="auto"/>
            <w:noWrap/>
            <w:vAlign w:val="bottom"/>
            <w:hideMark/>
          </w:tcPr>
          <w:p w14:paraId="369514BF"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0.9801</w:t>
            </w:r>
          </w:p>
        </w:tc>
        <w:tc>
          <w:tcPr>
            <w:tcW w:w="960" w:type="dxa"/>
            <w:tcBorders>
              <w:top w:val="nil"/>
              <w:left w:val="nil"/>
              <w:bottom w:val="nil"/>
              <w:right w:val="single" w:sz="4" w:space="0" w:color="auto"/>
            </w:tcBorders>
            <w:shd w:val="clear" w:color="auto" w:fill="auto"/>
            <w:noWrap/>
            <w:vAlign w:val="bottom"/>
            <w:hideMark/>
          </w:tcPr>
          <w:p w14:paraId="1049B849"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1.0218</w:t>
            </w:r>
          </w:p>
        </w:tc>
        <w:tc>
          <w:tcPr>
            <w:tcW w:w="960" w:type="dxa"/>
            <w:tcBorders>
              <w:top w:val="nil"/>
              <w:left w:val="nil"/>
              <w:bottom w:val="nil"/>
              <w:right w:val="nil"/>
            </w:tcBorders>
            <w:shd w:val="clear" w:color="auto" w:fill="auto"/>
            <w:noWrap/>
            <w:vAlign w:val="bottom"/>
            <w:hideMark/>
          </w:tcPr>
          <w:p w14:paraId="772F7446"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1.0427</w:t>
            </w:r>
          </w:p>
        </w:tc>
        <w:tc>
          <w:tcPr>
            <w:tcW w:w="960" w:type="dxa"/>
            <w:tcBorders>
              <w:top w:val="nil"/>
              <w:left w:val="single" w:sz="4" w:space="0" w:color="auto"/>
              <w:bottom w:val="nil"/>
              <w:right w:val="single" w:sz="4" w:space="0" w:color="auto"/>
            </w:tcBorders>
            <w:shd w:val="clear" w:color="auto" w:fill="auto"/>
            <w:noWrap/>
            <w:vAlign w:val="bottom"/>
            <w:hideMark/>
          </w:tcPr>
          <w:p w14:paraId="728CA4A0"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1.0709</w:t>
            </w:r>
          </w:p>
        </w:tc>
        <w:tc>
          <w:tcPr>
            <w:tcW w:w="960" w:type="dxa"/>
            <w:tcBorders>
              <w:top w:val="nil"/>
              <w:left w:val="nil"/>
              <w:bottom w:val="nil"/>
              <w:right w:val="single" w:sz="4" w:space="0" w:color="auto"/>
            </w:tcBorders>
            <w:shd w:val="clear" w:color="auto" w:fill="auto"/>
            <w:noWrap/>
            <w:vAlign w:val="bottom"/>
            <w:hideMark/>
          </w:tcPr>
          <w:p w14:paraId="1894906E"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1.1196</w:t>
            </w:r>
          </w:p>
        </w:tc>
      </w:tr>
      <w:tr w:rsidR="00A30676" w:rsidRPr="00321EBA" w14:paraId="782CF6CC"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33EEC5A3"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2004</w:t>
            </w:r>
          </w:p>
        </w:tc>
        <w:tc>
          <w:tcPr>
            <w:tcW w:w="960" w:type="dxa"/>
            <w:tcBorders>
              <w:top w:val="nil"/>
              <w:left w:val="single" w:sz="4" w:space="0" w:color="auto"/>
              <w:bottom w:val="nil"/>
              <w:right w:val="nil"/>
            </w:tcBorders>
            <w:shd w:val="clear" w:color="auto" w:fill="auto"/>
            <w:noWrap/>
            <w:vAlign w:val="bottom"/>
            <w:hideMark/>
          </w:tcPr>
          <w:p w14:paraId="6A20D2CE"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1.0962</w:t>
            </w:r>
          </w:p>
        </w:tc>
        <w:tc>
          <w:tcPr>
            <w:tcW w:w="960" w:type="dxa"/>
            <w:tcBorders>
              <w:top w:val="nil"/>
              <w:left w:val="single" w:sz="4" w:space="0" w:color="auto"/>
              <w:bottom w:val="nil"/>
              <w:right w:val="single" w:sz="4" w:space="0" w:color="auto"/>
            </w:tcBorders>
            <w:shd w:val="clear" w:color="auto" w:fill="auto"/>
            <w:noWrap/>
            <w:vAlign w:val="bottom"/>
            <w:hideMark/>
          </w:tcPr>
          <w:p w14:paraId="08442BD0"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1.0150</w:t>
            </w:r>
          </w:p>
        </w:tc>
        <w:tc>
          <w:tcPr>
            <w:tcW w:w="960" w:type="dxa"/>
            <w:tcBorders>
              <w:top w:val="nil"/>
              <w:left w:val="nil"/>
              <w:bottom w:val="nil"/>
              <w:right w:val="single" w:sz="4" w:space="0" w:color="auto"/>
            </w:tcBorders>
            <w:shd w:val="clear" w:color="auto" w:fill="auto"/>
            <w:noWrap/>
            <w:vAlign w:val="bottom"/>
            <w:hideMark/>
          </w:tcPr>
          <w:p w14:paraId="3A519185"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1.1127</w:t>
            </w:r>
          </w:p>
        </w:tc>
        <w:tc>
          <w:tcPr>
            <w:tcW w:w="960" w:type="dxa"/>
            <w:tcBorders>
              <w:top w:val="nil"/>
              <w:left w:val="nil"/>
              <w:bottom w:val="nil"/>
              <w:right w:val="nil"/>
            </w:tcBorders>
            <w:shd w:val="clear" w:color="auto" w:fill="auto"/>
            <w:noWrap/>
            <w:vAlign w:val="bottom"/>
            <w:hideMark/>
          </w:tcPr>
          <w:p w14:paraId="664875AE"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1.1430</w:t>
            </w:r>
          </w:p>
        </w:tc>
        <w:tc>
          <w:tcPr>
            <w:tcW w:w="960" w:type="dxa"/>
            <w:tcBorders>
              <w:top w:val="nil"/>
              <w:left w:val="single" w:sz="4" w:space="0" w:color="auto"/>
              <w:bottom w:val="nil"/>
              <w:right w:val="single" w:sz="4" w:space="0" w:color="auto"/>
            </w:tcBorders>
            <w:shd w:val="clear" w:color="auto" w:fill="auto"/>
            <w:noWrap/>
            <w:vAlign w:val="bottom"/>
            <w:hideMark/>
          </w:tcPr>
          <w:p w14:paraId="04D7704D"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1.0870</w:t>
            </w:r>
          </w:p>
        </w:tc>
        <w:tc>
          <w:tcPr>
            <w:tcW w:w="960" w:type="dxa"/>
            <w:tcBorders>
              <w:top w:val="nil"/>
              <w:left w:val="nil"/>
              <w:bottom w:val="nil"/>
              <w:right w:val="single" w:sz="4" w:space="0" w:color="auto"/>
            </w:tcBorders>
            <w:shd w:val="clear" w:color="auto" w:fill="auto"/>
            <w:noWrap/>
            <w:vAlign w:val="bottom"/>
            <w:hideMark/>
          </w:tcPr>
          <w:p w14:paraId="57FBF683"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1.2458</w:t>
            </w:r>
          </w:p>
        </w:tc>
      </w:tr>
      <w:tr w:rsidR="00A30676" w:rsidRPr="00321EBA" w14:paraId="51CDD721"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7004EFEF"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2005</w:t>
            </w:r>
          </w:p>
        </w:tc>
        <w:tc>
          <w:tcPr>
            <w:tcW w:w="960" w:type="dxa"/>
            <w:tcBorders>
              <w:top w:val="nil"/>
              <w:left w:val="single" w:sz="4" w:space="0" w:color="auto"/>
              <w:bottom w:val="nil"/>
              <w:right w:val="nil"/>
            </w:tcBorders>
            <w:shd w:val="clear" w:color="auto" w:fill="auto"/>
            <w:noWrap/>
            <w:vAlign w:val="bottom"/>
            <w:hideMark/>
          </w:tcPr>
          <w:p w14:paraId="08759F89"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0.9869</w:t>
            </w:r>
          </w:p>
        </w:tc>
        <w:tc>
          <w:tcPr>
            <w:tcW w:w="960" w:type="dxa"/>
            <w:tcBorders>
              <w:top w:val="nil"/>
              <w:left w:val="single" w:sz="4" w:space="0" w:color="auto"/>
              <w:bottom w:val="nil"/>
              <w:right w:val="single" w:sz="4" w:space="0" w:color="auto"/>
            </w:tcBorders>
            <w:shd w:val="clear" w:color="auto" w:fill="auto"/>
            <w:noWrap/>
            <w:vAlign w:val="bottom"/>
            <w:hideMark/>
          </w:tcPr>
          <w:p w14:paraId="2375FA0D"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1.0409</w:t>
            </w:r>
          </w:p>
        </w:tc>
        <w:tc>
          <w:tcPr>
            <w:tcW w:w="960" w:type="dxa"/>
            <w:tcBorders>
              <w:top w:val="nil"/>
              <w:left w:val="nil"/>
              <w:bottom w:val="nil"/>
              <w:right w:val="single" w:sz="4" w:space="0" w:color="auto"/>
            </w:tcBorders>
            <w:shd w:val="clear" w:color="auto" w:fill="auto"/>
            <w:noWrap/>
            <w:vAlign w:val="bottom"/>
            <w:hideMark/>
          </w:tcPr>
          <w:p w14:paraId="00068FCE"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1.0274</w:t>
            </w:r>
          </w:p>
        </w:tc>
        <w:tc>
          <w:tcPr>
            <w:tcW w:w="960" w:type="dxa"/>
            <w:tcBorders>
              <w:top w:val="nil"/>
              <w:left w:val="nil"/>
              <w:bottom w:val="nil"/>
              <w:right w:val="nil"/>
            </w:tcBorders>
            <w:shd w:val="clear" w:color="auto" w:fill="auto"/>
            <w:noWrap/>
            <w:vAlign w:val="bottom"/>
            <w:hideMark/>
          </w:tcPr>
          <w:p w14:paraId="16C78577"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1.1281</w:t>
            </w:r>
          </w:p>
        </w:tc>
        <w:tc>
          <w:tcPr>
            <w:tcW w:w="960" w:type="dxa"/>
            <w:tcBorders>
              <w:top w:val="nil"/>
              <w:left w:val="single" w:sz="4" w:space="0" w:color="auto"/>
              <w:bottom w:val="nil"/>
              <w:right w:val="single" w:sz="4" w:space="0" w:color="auto"/>
            </w:tcBorders>
            <w:shd w:val="clear" w:color="auto" w:fill="auto"/>
            <w:noWrap/>
            <w:vAlign w:val="bottom"/>
            <w:hideMark/>
          </w:tcPr>
          <w:p w14:paraId="7F57DF79"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1.1314</w:t>
            </w:r>
          </w:p>
        </w:tc>
        <w:tc>
          <w:tcPr>
            <w:tcW w:w="960" w:type="dxa"/>
            <w:tcBorders>
              <w:top w:val="nil"/>
              <w:left w:val="nil"/>
              <w:bottom w:val="nil"/>
              <w:right w:val="single" w:sz="4" w:space="0" w:color="auto"/>
            </w:tcBorders>
            <w:shd w:val="clear" w:color="auto" w:fill="auto"/>
            <w:noWrap/>
            <w:vAlign w:val="bottom"/>
            <w:hideMark/>
          </w:tcPr>
          <w:p w14:paraId="69252A1F"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1.2800</w:t>
            </w:r>
          </w:p>
        </w:tc>
      </w:tr>
      <w:tr w:rsidR="00A30676" w:rsidRPr="00321EBA" w14:paraId="3E190E57"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60C2EE18"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2006</w:t>
            </w:r>
          </w:p>
        </w:tc>
        <w:tc>
          <w:tcPr>
            <w:tcW w:w="960" w:type="dxa"/>
            <w:tcBorders>
              <w:top w:val="nil"/>
              <w:left w:val="single" w:sz="4" w:space="0" w:color="auto"/>
              <w:bottom w:val="nil"/>
              <w:right w:val="nil"/>
            </w:tcBorders>
            <w:shd w:val="clear" w:color="auto" w:fill="auto"/>
            <w:noWrap/>
            <w:vAlign w:val="bottom"/>
            <w:hideMark/>
          </w:tcPr>
          <w:p w14:paraId="3134F825"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1.0707</w:t>
            </w:r>
          </w:p>
        </w:tc>
        <w:tc>
          <w:tcPr>
            <w:tcW w:w="960" w:type="dxa"/>
            <w:tcBorders>
              <w:top w:val="nil"/>
              <w:left w:val="single" w:sz="4" w:space="0" w:color="auto"/>
              <w:bottom w:val="nil"/>
              <w:right w:val="single" w:sz="4" w:space="0" w:color="auto"/>
            </w:tcBorders>
            <w:shd w:val="clear" w:color="auto" w:fill="auto"/>
            <w:noWrap/>
            <w:vAlign w:val="bottom"/>
            <w:hideMark/>
          </w:tcPr>
          <w:p w14:paraId="58206CB8"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0.9144</w:t>
            </w:r>
          </w:p>
        </w:tc>
        <w:tc>
          <w:tcPr>
            <w:tcW w:w="960" w:type="dxa"/>
            <w:tcBorders>
              <w:top w:val="nil"/>
              <w:left w:val="nil"/>
              <w:bottom w:val="nil"/>
              <w:right w:val="single" w:sz="4" w:space="0" w:color="auto"/>
            </w:tcBorders>
            <w:shd w:val="clear" w:color="auto" w:fill="auto"/>
            <w:noWrap/>
            <w:vAlign w:val="bottom"/>
            <w:hideMark/>
          </w:tcPr>
          <w:p w14:paraId="6EF7C168"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0.9789</w:t>
            </w:r>
          </w:p>
        </w:tc>
        <w:tc>
          <w:tcPr>
            <w:tcW w:w="960" w:type="dxa"/>
            <w:tcBorders>
              <w:top w:val="nil"/>
              <w:left w:val="nil"/>
              <w:bottom w:val="nil"/>
              <w:right w:val="nil"/>
            </w:tcBorders>
            <w:shd w:val="clear" w:color="auto" w:fill="auto"/>
            <w:noWrap/>
            <w:vAlign w:val="bottom"/>
            <w:hideMark/>
          </w:tcPr>
          <w:p w14:paraId="31C3A892"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1.2078</w:t>
            </w:r>
          </w:p>
        </w:tc>
        <w:tc>
          <w:tcPr>
            <w:tcW w:w="960" w:type="dxa"/>
            <w:tcBorders>
              <w:top w:val="nil"/>
              <w:left w:val="single" w:sz="4" w:space="0" w:color="auto"/>
              <w:bottom w:val="nil"/>
              <w:right w:val="single" w:sz="4" w:space="0" w:color="auto"/>
            </w:tcBorders>
            <w:shd w:val="clear" w:color="auto" w:fill="auto"/>
            <w:noWrap/>
            <w:vAlign w:val="bottom"/>
            <w:hideMark/>
          </w:tcPr>
          <w:p w14:paraId="3A26B132"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1.0346</w:t>
            </w:r>
          </w:p>
        </w:tc>
        <w:tc>
          <w:tcPr>
            <w:tcW w:w="960" w:type="dxa"/>
            <w:tcBorders>
              <w:top w:val="nil"/>
              <w:left w:val="nil"/>
              <w:bottom w:val="nil"/>
              <w:right w:val="single" w:sz="4" w:space="0" w:color="auto"/>
            </w:tcBorders>
            <w:shd w:val="clear" w:color="auto" w:fill="auto"/>
            <w:noWrap/>
            <w:vAlign w:val="bottom"/>
            <w:hideMark/>
          </w:tcPr>
          <w:p w14:paraId="7968A1EE"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1.2530</w:t>
            </w:r>
          </w:p>
        </w:tc>
      </w:tr>
      <w:tr w:rsidR="00A30676" w:rsidRPr="00321EBA" w14:paraId="2E09FD36"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6247E237"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2007</w:t>
            </w:r>
          </w:p>
        </w:tc>
        <w:tc>
          <w:tcPr>
            <w:tcW w:w="960" w:type="dxa"/>
            <w:tcBorders>
              <w:top w:val="nil"/>
              <w:left w:val="single" w:sz="4" w:space="0" w:color="auto"/>
              <w:bottom w:val="nil"/>
              <w:right w:val="nil"/>
            </w:tcBorders>
            <w:shd w:val="clear" w:color="auto" w:fill="auto"/>
            <w:noWrap/>
            <w:vAlign w:val="bottom"/>
            <w:hideMark/>
          </w:tcPr>
          <w:p w14:paraId="7ABE442C"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0.9961</w:t>
            </w:r>
          </w:p>
        </w:tc>
        <w:tc>
          <w:tcPr>
            <w:tcW w:w="960" w:type="dxa"/>
            <w:tcBorders>
              <w:top w:val="nil"/>
              <w:left w:val="single" w:sz="4" w:space="0" w:color="auto"/>
              <w:bottom w:val="nil"/>
              <w:right w:val="single" w:sz="4" w:space="0" w:color="auto"/>
            </w:tcBorders>
            <w:shd w:val="clear" w:color="auto" w:fill="auto"/>
            <w:noWrap/>
            <w:vAlign w:val="bottom"/>
            <w:hideMark/>
          </w:tcPr>
          <w:p w14:paraId="704A5746"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0.9963</w:t>
            </w:r>
          </w:p>
        </w:tc>
        <w:tc>
          <w:tcPr>
            <w:tcW w:w="960" w:type="dxa"/>
            <w:tcBorders>
              <w:top w:val="nil"/>
              <w:left w:val="nil"/>
              <w:bottom w:val="nil"/>
              <w:right w:val="single" w:sz="4" w:space="0" w:color="auto"/>
            </w:tcBorders>
            <w:shd w:val="clear" w:color="auto" w:fill="auto"/>
            <w:noWrap/>
            <w:vAlign w:val="bottom"/>
            <w:hideMark/>
          </w:tcPr>
          <w:p w14:paraId="6F030C0B"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0.9925</w:t>
            </w:r>
          </w:p>
        </w:tc>
        <w:tc>
          <w:tcPr>
            <w:tcW w:w="960" w:type="dxa"/>
            <w:tcBorders>
              <w:top w:val="nil"/>
              <w:left w:val="nil"/>
              <w:bottom w:val="nil"/>
              <w:right w:val="nil"/>
            </w:tcBorders>
            <w:shd w:val="clear" w:color="auto" w:fill="auto"/>
            <w:noWrap/>
            <w:vAlign w:val="bottom"/>
            <w:hideMark/>
          </w:tcPr>
          <w:p w14:paraId="62F1E653"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1.2031</w:t>
            </w:r>
          </w:p>
        </w:tc>
        <w:tc>
          <w:tcPr>
            <w:tcW w:w="960" w:type="dxa"/>
            <w:tcBorders>
              <w:top w:val="nil"/>
              <w:left w:val="single" w:sz="4" w:space="0" w:color="auto"/>
              <w:bottom w:val="nil"/>
              <w:right w:val="single" w:sz="4" w:space="0" w:color="auto"/>
            </w:tcBorders>
            <w:shd w:val="clear" w:color="auto" w:fill="auto"/>
            <w:noWrap/>
            <w:vAlign w:val="bottom"/>
            <w:hideMark/>
          </w:tcPr>
          <w:p w14:paraId="751DE061"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1.0309</w:t>
            </w:r>
          </w:p>
        </w:tc>
        <w:tc>
          <w:tcPr>
            <w:tcW w:w="960" w:type="dxa"/>
            <w:tcBorders>
              <w:top w:val="nil"/>
              <w:left w:val="nil"/>
              <w:bottom w:val="nil"/>
              <w:right w:val="single" w:sz="4" w:space="0" w:color="auto"/>
            </w:tcBorders>
            <w:shd w:val="clear" w:color="auto" w:fill="auto"/>
            <w:noWrap/>
            <w:vAlign w:val="bottom"/>
            <w:hideMark/>
          </w:tcPr>
          <w:p w14:paraId="1635EE77"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1.2436</w:t>
            </w:r>
          </w:p>
        </w:tc>
      </w:tr>
      <w:tr w:rsidR="00A30676" w:rsidRPr="00321EBA" w14:paraId="61E7B84C"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5043BA03"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2008</w:t>
            </w:r>
          </w:p>
        </w:tc>
        <w:tc>
          <w:tcPr>
            <w:tcW w:w="960" w:type="dxa"/>
            <w:tcBorders>
              <w:top w:val="nil"/>
              <w:left w:val="single" w:sz="4" w:space="0" w:color="auto"/>
              <w:bottom w:val="nil"/>
              <w:right w:val="nil"/>
            </w:tcBorders>
            <w:shd w:val="clear" w:color="auto" w:fill="auto"/>
            <w:noWrap/>
            <w:vAlign w:val="bottom"/>
            <w:hideMark/>
          </w:tcPr>
          <w:p w14:paraId="5143E42C"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1.0338</w:t>
            </w:r>
          </w:p>
        </w:tc>
        <w:tc>
          <w:tcPr>
            <w:tcW w:w="960" w:type="dxa"/>
            <w:tcBorders>
              <w:top w:val="nil"/>
              <w:left w:val="single" w:sz="4" w:space="0" w:color="auto"/>
              <w:bottom w:val="nil"/>
              <w:right w:val="single" w:sz="4" w:space="0" w:color="auto"/>
            </w:tcBorders>
            <w:shd w:val="clear" w:color="auto" w:fill="auto"/>
            <w:noWrap/>
            <w:vAlign w:val="bottom"/>
            <w:hideMark/>
          </w:tcPr>
          <w:p w14:paraId="34955915"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0.9839</w:t>
            </w:r>
          </w:p>
        </w:tc>
        <w:tc>
          <w:tcPr>
            <w:tcW w:w="960" w:type="dxa"/>
            <w:tcBorders>
              <w:top w:val="nil"/>
              <w:left w:val="nil"/>
              <w:bottom w:val="nil"/>
              <w:right w:val="single" w:sz="4" w:space="0" w:color="auto"/>
            </w:tcBorders>
            <w:shd w:val="clear" w:color="auto" w:fill="auto"/>
            <w:noWrap/>
            <w:vAlign w:val="bottom"/>
            <w:hideMark/>
          </w:tcPr>
          <w:p w14:paraId="60874016"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1.0172</w:t>
            </w:r>
          </w:p>
        </w:tc>
        <w:tc>
          <w:tcPr>
            <w:tcW w:w="960" w:type="dxa"/>
            <w:tcBorders>
              <w:top w:val="nil"/>
              <w:left w:val="nil"/>
              <w:bottom w:val="nil"/>
              <w:right w:val="nil"/>
            </w:tcBorders>
            <w:shd w:val="clear" w:color="auto" w:fill="auto"/>
            <w:noWrap/>
            <w:vAlign w:val="bottom"/>
            <w:hideMark/>
          </w:tcPr>
          <w:p w14:paraId="3FB27471"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1.2437</w:t>
            </w:r>
          </w:p>
        </w:tc>
        <w:tc>
          <w:tcPr>
            <w:tcW w:w="960" w:type="dxa"/>
            <w:tcBorders>
              <w:top w:val="nil"/>
              <w:left w:val="single" w:sz="4" w:space="0" w:color="auto"/>
              <w:bottom w:val="nil"/>
              <w:right w:val="single" w:sz="4" w:space="0" w:color="auto"/>
            </w:tcBorders>
            <w:shd w:val="clear" w:color="auto" w:fill="auto"/>
            <w:noWrap/>
            <w:vAlign w:val="bottom"/>
            <w:hideMark/>
          </w:tcPr>
          <w:p w14:paraId="3C29F4D5"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1.0142</w:t>
            </w:r>
          </w:p>
        </w:tc>
        <w:tc>
          <w:tcPr>
            <w:tcW w:w="960" w:type="dxa"/>
            <w:tcBorders>
              <w:top w:val="nil"/>
              <w:left w:val="nil"/>
              <w:bottom w:val="nil"/>
              <w:right w:val="single" w:sz="4" w:space="0" w:color="auto"/>
            </w:tcBorders>
            <w:shd w:val="clear" w:color="auto" w:fill="auto"/>
            <w:noWrap/>
            <w:vAlign w:val="bottom"/>
            <w:hideMark/>
          </w:tcPr>
          <w:p w14:paraId="30A26ACB"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1.2650</w:t>
            </w:r>
          </w:p>
        </w:tc>
      </w:tr>
      <w:tr w:rsidR="00A30676" w:rsidRPr="00321EBA" w14:paraId="3454BB01"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1196318D"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2009</w:t>
            </w:r>
          </w:p>
        </w:tc>
        <w:tc>
          <w:tcPr>
            <w:tcW w:w="960" w:type="dxa"/>
            <w:tcBorders>
              <w:top w:val="nil"/>
              <w:left w:val="single" w:sz="4" w:space="0" w:color="auto"/>
              <w:bottom w:val="nil"/>
              <w:right w:val="nil"/>
            </w:tcBorders>
            <w:shd w:val="clear" w:color="auto" w:fill="auto"/>
            <w:noWrap/>
            <w:vAlign w:val="bottom"/>
            <w:hideMark/>
          </w:tcPr>
          <w:p w14:paraId="49F79DF4"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0.9694</w:t>
            </w:r>
          </w:p>
        </w:tc>
        <w:tc>
          <w:tcPr>
            <w:tcW w:w="960" w:type="dxa"/>
            <w:tcBorders>
              <w:top w:val="nil"/>
              <w:left w:val="single" w:sz="4" w:space="0" w:color="auto"/>
              <w:bottom w:val="nil"/>
              <w:right w:val="single" w:sz="4" w:space="0" w:color="auto"/>
            </w:tcBorders>
            <w:shd w:val="clear" w:color="auto" w:fill="auto"/>
            <w:noWrap/>
            <w:vAlign w:val="bottom"/>
            <w:hideMark/>
          </w:tcPr>
          <w:p w14:paraId="3B73682B"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1.0670</w:t>
            </w:r>
          </w:p>
        </w:tc>
        <w:tc>
          <w:tcPr>
            <w:tcW w:w="960" w:type="dxa"/>
            <w:tcBorders>
              <w:top w:val="nil"/>
              <w:left w:val="nil"/>
              <w:bottom w:val="nil"/>
              <w:right w:val="single" w:sz="4" w:space="0" w:color="auto"/>
            </w:tcBorders>
            <w:shd w:val="clear" w:color="auto" w:fill="auto"/>
            <w:noWrap/>
            <w:vAlign w:val="bottom"/>
            <w:hideMark/>
          </w:tcPr>
          <w:p w14:paraId="556FFAE2"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1.0343</w:t>
            </w:r>
          </w:p>
        </w:tc>
        <w:tc>
          <w:tcPr>
            <w:tcW w:w="960" w:type="dxa"/>
            <w:tcBorders>
              <w:top w:val="nil"/>
              <w:left w:val="nil"/>
              <w:bottom w:val="nil"/>
              <w:right w:val="nil"/>
            </w:tcBorders>
            <w:shd w:val="clear" w:color="auto" w:fill="auto"/>
            <w:noWrap/>
            <w:vAlign w:val="bottom"/>
            <w:hideMark/>
          </w:tcPr>
          <w:p w14:paraId="43F891F5"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1.2057</w:t>
            </w:r>
          </w:p>
        </w:tc>
        <w:tc>
          <w:tcPr>
            <w:tcW w:w="960" w:type="dxa"/>
            <w:tcBorders>
              <w:top w:val="nil"/>
              <w:left w:val="single" w:sz="4" w:space="0" w:color="auto"/>
              <w:bottom w:val="nil"/>
              <w:right w:val="single" w:sz="4" w:space="0" w:color="auto"/>
            </w:tcBorders>
            <w:shd w:val="clear" w:color="auto" w:fill="auto"/>
            <w:noWrap/>
            <w:vAlign w:val="bottom"/>
            <w:hideMark/>
          </w:tcPr>
          <w:p w14:paraId="32044663"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1.0821</w:t>
            </w:r>
          </w:p>
        </w:tc>
        <w:tc>
          <w:tcPr>
            <w:tcW w:w="960" w:type="dxa"/>
            <w:tcBorders>
              <w:top w:val="nil"/>
              <w:left w:val="nil"/>
              <w:bottom w:val="nil"/>
              <w:right w:val="single" w:sz="4" w:space="0" w:color="auto"/>
            </w:tcBorders>
            <w:shd w:val="clear" w:color="auto" w:fill="auto"/>
            <w:noWrap/>
            <w:vAlign w:val="bottom"/>
            <w:hideMark/>
          </w:tcPr>
          <w:p w14:paraId="690D0A65"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1.3085</w:t>
            </w:r>
          </w:p>
        </w:tc>
      </w:tr>
      <w:tr w:rsidR="00A30676" w:rsidRPr="00321EBA" w14:paraId="7C325321"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3196E7EF"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2010</w:t>
            </w:r>
          </w:p>
        </w:tc>
        <w:tc>
          <w:tcPr>
            <w:tcW w:w="960" w:type="dxa"/>
            <w:tcBorders>
              <w:top w:val="nil"/>
              <w:left w:val="single" w:sz="4" w:space="0" w:color="auto"/>
              <w:bottom w:val="nil"/>
              <w:right w:val="nil"/>
            </w:tcBorders>
            <w:shd w:val="clear" w:color="auto" w:fill="auto"/>
            <w:noWrap/>
            <w:vAlign w:val="bottom"/>
            <w:hideMark/>
          </w:tcPr>
          <w:p w14:paraId="054C9C1C"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1.0305</w:t>
            </w:r>
          </w:p>
        </w:tc>
        <w:tc>
          <w:tcPr>
            <w:tcW w:w="960" w:type="dxa"/>
            <w:tcBorders>
              <w:top w:val="nil"/>
              <w:left w:val="single" w:sz="4" w:space="0" w:color="auto"/>
              <w:bottom w:val="nil"/>
              <w:right w:val="single" w:sz="4" w:space="0" w:color="auto"/>
            </w:tcBorders>
            <w:shd w:val="clear" w:color="auto" w:fill="auto"/>
            <w:noWrap/>
            <w:vAlign w:val="bottom"/>
            <w:hideMark/>
          </w:tcPr>
          <w:p w14:paraId="670DA14E"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0.9909</w:t>
            </w:r>
          </w:p>
        </w:tc>
        <w:tc>
          <w:tcPr>
            <w:tcW w:w="960" w:type="dxa"/>
            <w:tcBorders>
              <w:top w:val="nil"/>
              <w:left w:val="nil"/>
              <w:bottom w:val="nil"/>
              <w:right w:val="single" w:sz="4" w:space="0" w:color="auto"/>
            </w:tcBorders>
            <w:shd w:val="clear" w:color="auto" w:fill="auto"/>
            <w:noWrap/>
            <w:vAlign w:val="bottom"/>
            <w:hideMark/>
          </w:tcPr>
          <w:p w14:paraId="10F223F3"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1.0212</w:t>
            </w:r>
          </w:p>
        </w:tc>
        <w:tc>
          <w:tcPr>
            <w:tcW w:w="960" w:type="dxa"/>
            <w:tcBorders>
              <w:top w:val="nil"/>
              <w:left w:val="nil"/>
              <w:bottom w:val="nil"/>
              <w:right w:val="nil"/>
            </w:tcBorders>
            <w:shd w:val="clear" w:color="auto" w:fill="auto"/>
            <w:noWrap/>
            <w:vAlign w:val="bottom"/>
            <w:hideMark/>
          </w:tcPr>
          <w:p w14:paraId="3459E95C"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1.2425</w:t>
            </w:r>
          </w:p>
        </w:tc>
        <w:tc>
          <w:tcPr>
            <w:tcW w:w="960" w:type="dxa"/>
            <w:tcBorders>
              <w:top w:val="nil"/>
              <w:left w:val="single" w:sz="4" w:space="0" w:color="auto"/>
              <w:bottom w:val="nil"/>
              <w:right w:val="single" w:sz="4" w:space="0" w:color="auto"/>
            </w:tcBorders>
            <w:shd w:val="clear" w:color="auto" w:fill="auto"/>
            <w:noWrap/>
            <w:vAlign w:val="bottom"/>
            <w:hideMark/>
          </w:tcPr>
          <w:p w14:paraId="785A3E38"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1.0722</w:t>
            </w:r>
          </w:p>
        </w:tc>
        <w:tc>
          <w:tcPr>
            <w:tcW w:w="960" w:type="dxa"/>
            <w:tcBorders>
              <w:top w:val="nil"/>
              <w:left w:val="nil"/>
              <w:bottom w:val="nil"/>
              <w:right w:val="single" w:sz="4" w:space="0" w:color="auto"/>
            </w:tcBorders>
            <w:shd w:val="clear" w:color="auto" w:fill="auto"/>
            <w:noWrap/>
            <w:vAlign w:val="bottom"/>
            <w:hideMark/>
          </w:tcPr>
          <w:p w14:paraId="3911D558"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1.3362</w:t>
            </w:r>
          </w:p>
        </w:tc>
      </w:tr>
      <w:tr w:rsidR="00A30676" w:rsidRPr="00321EBA" w14:paraId="2A5370CE"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31AC01BD"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2011</w:t>
            </w:r>
          </w:p>
        </w:tc>
        <w:tc>
          <w:tcPr>
            <w:tcW w:w="960" w:type="dxa"/>
            <w:tcBorders>
              <w:top w:val="nil"/>
              <w:left w:val="single" w:sz="4" w:space="0" w:color="auto"/>
              <w:bottom w:val="nil"/>
              <w:right w:val="nil"/>
            </w:tcBorders>
            <w:shd w:val="clear" w:color="auto" w:fill="auto"/>
            <w:noWrap/>
            <w:vAlign w:val="bottom"/>
            <w:hideMark/>
          </w:tcPr>
          <w:p w14:paraId="2ECB871A"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0.9999</w:t>
            </w:r>
          </w:p>
        </w:tc>
        <w:tc>
          <w:tcPr>
            <w:tcW w:w="960" w:type="dxa"/>
            <w:tcBorders>
              <w:top w:val="nil"/>
              <w:left w:val="single" w:sz="4" w:space="0" w:color="auto"/>
              <w:bottom w:val="nil"/>
              <w:right w:val="single" w:sz="4" w:space="0" w:color="auto"/>
            </w:tcBorders>
            <w:shd w:val="clear" w:color="auto" w:fill="auto"/>
            <w:noWrap/>
            <w:vAlign w:val="bottom"/>
            <w:hideMark/>
          </w:tcPr>
          <w:p w14:paraId="510AC94F"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1.0254</w:t>
            </w:r>
          </w:p>
        </w:tc>
        <w:tc>
          <w:tcPr>
            <w:tcW w:w="960" w:type="dxa"/>
            <w:tcBorders>
              <w:top w:val="nil"/>
              <w:left w:val="nil"/>
              <w:bottom w:val="nil"/>
              <w:right w:val="single" w:sz="4" w:space="0" w:color="auto"/>
            </w:tcBorders>
            <w:shd w:val="clear" w:color="auto" w:fill="auto"/>
            <w:noWrap/>
            <w:vAlign w:val="bottom"/>
            <w:hideMark/>
          </w:tcPr>
          <w:p w14:paraId="25D9C5E0"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1.0253</w:t>
            </w:r>
          </w:p>
        </w:tc>
        <w:tc>
          <w:tcPr>
            <w:tcW w:w="960" w:type="dxa"/>
            <w:tcBorders>
              <w:top w:val="nil"/>
              <w:left w:val="nil"/>
              <w:bottom w:val="nil"/>
              <w:right w:val="nil"/>
            </w:tcBorders>
            <w:shd w:val="clear" w:color="auto" w:fill="auto"/>
            <w:noWrap/>
            <w:vAlign w:val="bottom"/>
            <w:hideMark/>
          </w:tcPr>
          <w:p w14:paraId="2E88E49D"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1.2424</w:t>
            </w:r>
          </w:p>
        </w:tc>
        <w:tc>
          <w:tcPr>
            <w:tcW w:w="960" w:type="dxa"/>
            <w:tcBorders>
              <w:top w:val="nil"/>
              <w:left w:val="single" w:sz="4" w:space="0" w:color="auto"/>
              <w:bottom w:val="nil"/>
              <w:right w:val="single" w:sz="4" w:space="0" w:color="auto"/>
            </w:tcBorders>
            <w:shd w:val="clear" w:color="auto" w:fill="auto"/>
            <w:noWrap/>
            <w:vAlign w:val="bottom"/>
            <w:hideMark/>
          </w:tcPr>
          <w:p w14:paraId="54B72464"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1.0994</w:t>
            </w:r>
          </w:p>
        </w:tc>
        <w:tc>
          <w:tcPr>
            <w:tcW w:w="960" w:type="dxa"/>
            <w:tcBorders>
              <w:top w:val="nil"/>
              <w:left w:val="nil"/>
              <w:bottom w:val="nil"/>
              <w:right w:val="single" w:sz="4" w:space="0" w:color="auto"/>
            </w:tcBorders>
            <w:shd w:val="clear" w:color="auto" w:fill="auto"/>
            <w:noWrap/>
            <w:vAlign w:val="bottom"/>
            <w:hideMark/>
          </w:tcPr>
          <w:p w14:paraId="10FBE380"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1.3700</w:t>
            </w:r>
          </w:p>
        </w:tc>
      </w:tr>
      <w:tr w:rsidR="00A30676" w:rsidRPr="00321EBA" w14:paraId="496AD774"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5E1B575D"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2012</w:t>
            </w:r>
          </w:p>
        </w:tc>
        <w:tc>
          <w:tcPr>
            <w:tcW w:w="960" w:type="dxa"/>
            <w:tcBorders>
              <w:top w:val="nil"/>
              <w:left w:val="single" w:sz="4" w:space="0" w:color="auto"/>
              <w:bottom w:val="nil"/>
              <w:right w:val="nil"/>
            </w:tcBorders>
            <w:shd w:val="clear" w:color="auto" w:fill="auto"/>
            <w:noWrap/>
            <w:vAlign w:val="bottom"/>
            <w:hideMark/>
          </w:tcPr>
          <w:p w14:paraId="59F38464"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0.9908</w:t>
            </w:r>
          </w:p>
        </w:tc>
        <w:tc>
          <w:tcPr>
            <w:tcW w:w="960" w:type="dxa"/>
            <w:tcBorders>
              <w:top w:val="nil"/>
              <w:left w:val="single" w:sz="4" w:space="0" w:color="auto"/>
              <w:bottom w:val="nil"/>
              <w:right w:val="single" w:sz="4" w:space="0" w:color="auto"/>
            </w:tcBorders>
            <w:shd w:val="clear" w:color="auto" w:fill="auto"/>
            <w:noWrap/>
            <w:vAlign w:val="bottom"/>
            <w:hideMark/>
          </w:tcPr>
          <w:p w14:paraId="6E2AE8F6"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1.0114</w:t>
            </w:r>
          </w:p>
        </w:tc>
        <w:tc>
          <w:tcPr>
            <w:tcW w:w="960" w:type="dxa"/>
            <w:tcBorders>
              <w:top w:val="nil"/>
              <w:left w:val="nil"/>
              <w:bottom w:val="nil"/>
              <w:right w:val="single" w:sz="4" w:space="0" w:color="auto"/>
            </w:tcBorders>
            <w:shd w:val="clear" w:color="auto" w:fill="auto"/>
            <w:noWrap/>
            <w:vAlign w:val="bottom"/>
            <w:hideMark/>
          </w:tcPr>
          <w:p w14:paraId="7F381023"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1.0022</w:t>
            </w:r>
          </w:p>
        </w:tc>
        <w:tc>
          <w:tcPr>
            <w:tcW w:w="960" w:type="dxa"/>
            <w:tcBorders>
              <w:top w:val="nil"/>
              <w:left w:val="nil"/>
              <w:bottom w:val="nil"/>
              <w:right w:val="nil"/>
            </w:tcBorders>
            <w:shd w:val="clear" w:color="auto" w:fill="auto"/>
            <w:noWrap/>
            <w:vAlign w:val="bottom"/>
            <w:hideMark/>
          </w:tcPr>
          <w:p w14:paraId="24D008C6"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1.2310</w:t>
            </w:r>
          </w:p>
        </w:tc>
        <w:tc>
          <w:tcPr>
            <w:tcW w:w="960" w:type="dxa"/>
            <w:tcBorders>
              <w:top w:val="nil"/>
              <w:left w:val="single" w:sz="4" w:space="0" w:color="auto"/>
              <w:bottom w:val="nil"/>
              <w:right w:val="single" w:sz="4" w:space="0" w:color="auto"/>
            </w:tcBorders>
            <w:shd w:val="clear" w:color="auto" w:fill="auto"/>
            <w:noWrap/>
            <w:vAlign w:val="bottom"/>
            <w:hideMark/>
          </w:tcPr>
          <w:p w14:paraId="5BED69B9"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1.1120</w:t>
            </w:r>
          </w:p>
        </w:tc>
        <w:tc>
          <w:tcPr>
            <w:tcW w:w="960" w:type="dxa"/>
            <w:tcBorders>
              <w:top w:val="nil"/>
              <w:left w:val="nil"/>
              <w:bottom w:val="nil"/>
              <w:right w:val="single" w:sz="4" w:space="0" w:color="auto"/>
            </w:tcBorders>
            <w:shd w:val="clear" w:color="auto" w:fill="auto"/>
            <w:noWrap/>
            <w:vAlign w:val="bottom"/>
            <w:hideMark/>
          </w:tcPr>
          <w:p w14:paraId="3DFDB739"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1.3731</w:t>
            </w:r>
          </w:p>
        </w:tc>
      </w:tr>
      <w:tr w:rsidR="00A30676" w:rsidRPr="00321EBA" w14:paraId="2B5A894F"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22D85D80"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2013</w:t>
            </w:r>
          </w:p>
        </w:tc>
        <w:tc>
          <w:tcPr>
            <w:tcW w:w="960" w:type="dxa"/>
            <w:tcBorders>
              <w:top w:val="nil"/>
              <w:left w:val="single" w:sz="4" w:space="0" w:color="auto"/>
              <w:bottom w:val="nil"/>
              <w:right w:val="nil"/>
            </w:tcBorders>
            <w:shd w:val="clear" w:color="auto" w:fill="auto"/>
            <w:noWrap/>
            <w:vAlign w:val="bottom"/>
            <w:hideMark/>
          </w:tcPr>
          <w:p w14:paraId="6187C19A"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0.9960</w:t>
            </w:r>
          </w:p>
        </w:tc>
        <w:tc>
          <w:tcPr>
            <w:tcW w:w="960" w:type="dxa"/>
            <w:tcBorders>
              <w:top w:val="nil"/>
              <w:left w:val="single" w:sz="4" w:space="0" w:color="auto"/>
              <w:bottom w:val="nil"/>
              <w:right w:val="single" w:sz="4" w:space="0" w:color="auto"/>
            </w:tcBorders>
            <w:shd w:val="clear" w:color="auto" w:fill="auto"/>
            <w:noWrap/>
            <w:vAlign w:val="bottom"/>
            <w:hideMark/>
          </w:tcPr>
          <w:p w14:paraId="301B2370"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0.9920</w:t>
            </w:r>
          </w:p>
        </w:tc>
        <w:tc>
          <w:tcPr>
            <w:tcW w:w="960" w:type="dxa"/>
            <w:tcBorders>
              <w:top w:val="nil"/>
              <w:left w:val="nil"/>
              <w:bottom w:val="nil"/>
              <w:right w:val="single" w:sz="4" w:space="0" w:color="auto"/>
            </w:tcBorders>
            <w:shd w:val="clear" w:color="auto" w:fill="auto"/>
            <w:noWrap/>
            <w:vAlign w:val="bottom"/>
            <w:hideMark/>
          </w:tcPr>
          <w:p w14:paraId="1C2B4825"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0.9880</w:t>
            </w:r>
          </w:p>
        </w:tc>
        <w:tc>
          <w:tcPr>
            <w:tcW w:w="960" w:type="dxa"/>
            <w:tcBorders>
              <w:top w:val="nil"/>
              <w:left w:val="nil"/>
              <w:bottom w:val="nil"/>
              <w:right w:val="nil"/>
            </w:tcBorders>
            <w:shd w:val="clear" w:color="auto" w:fill="auto"/>
            <w:noWrap/>
            <w:vAlign w:val="bottom"/>
            <w:hideMark/>
          </w:tcPr>
          <w:p w14:paraId="437B7FB8"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1.2260</w:t>
            </w:r>
          </w:p>
        </w:tc>
        <w:tc>
          <w:tcPr>
            <w:tcW w:w="960" w:type="dxa"/>
            <w:tcBorders>
              <w:top w:val="nil"/>
              <w:left w:val="single" w:sz="4" w:space="0" w:color="auto"/>
              <w:bottom w:val="nil"/>
              <w:right w:val="single" w:sz="4" w:space="0" w:color="auto"/>
            </w:tcBorders>
            <w:shd w:val="clear" w:color="auto" w:fill="auto"/>
            <w:noWrap/>
            <w:vAlign w:val="bottom"/>
            <w:hideMark/>
          </w:tcPr>
          <w:p w14:paraId="73DF8C3C"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1.1030</w:t>
            </w:r>
          </w:p>
        </w:tc>
        <w:tc>
          <w:tcPr>
            <w:tcW w:w="960" w:type="dxa"/>
            <w:tcBorders>
              <w:top w:val="nil"/>
              <w:left w:val="nil"/>
              <w:bottom w:val="nil"/>
              <w:right w:val="single" w:sz="4" w:space="0" w:color="auto"/>
            </w:tcBorders>
            <w:shd w:val="clear" w:color="auto" w:fill="auto"/>
            <w:noWrap/>
            <w:vAlign w:val="bottom"/>
            <w:hideMark/>
          </w:tcPr>
          <w:p w14:paraId="6213C431"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1.3566</w:t>
            </w:r>
          </w:p>
        </w:tc>
      </w:tr>
      <w:tr w:rsidR="00A30676" w:rsidRPr="00321EBA" w14:paraId="76665854"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4B5258B1"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2014</w:t>
            </w:r>
          </w:p>
        </w:tc>
        <w:tc>
          <w:tcPr>
            <w:tcW w:w="960" w:type="dxa"/>
            <w:tcBorders>
              <w:top w:val="nil"/>
              <w:left w:val="single" w:sz="4" w:space="0" w:color="auto"/>
              <w:bottom w:val="nil"/>
              <w:right w:val="nil"/>
            </w:tcBorders>
            <w:shd w:val="clear" w:color="auto" w:fill="auto"/>
            <w:noWrap/>
            <w:vAlign w:val="bottom"/>
            <w:hideMark/>
          </w:tcPr>
          <w:p w14:paraId="31215299"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1.0123</w:t>
            </w:r>
          </w:p>
        </w:tc>
        <w:tc>
          <w:tcPr>
            <w:tcW w:w="960" w:type="dxa"/>
            <w:tcBorders>
              <w:top w:val="nil"/>
              <w:left w:val="single" w:sz="4" w:space="0" w:color="auto"/>
              <w:bottom w:val="nil"/>
              <w:right w:val="single" w:sz="4" w:space="0" w:color="auto"/>
            </w:tcBorders>
            <w:shd w:val="clear" w:color="auto" w:fill="auto"/>
            <w:noWrap/>
            <w:vAlign w:val="bottom"/>
            <w:hideMark/>
          </w:tcPr>
          <w:p w14:paraId="666A7851"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0.9845</w:t>
            </w:r>
          </w:p>
        </w:tc>
        <w:tc>
          <w:tcPr>
            <w:tcW w:w="960" w:type="dxa"/>
            <w:tcBorders>
              <w:top w:val="nil"/>
              <w:left w:val="nil"/>
              <w:bottom w:val="nil"/>
              <w:right w:val="single" w:sz="4" w:space="0" w:color="auto"/>
            </w:tcBorders>
            <w:shd w:val="clear" w:color="auto" w:fill="auto"/>
            <w:noWrap/>
            <w:vAlign w:val="bottom"/>
            <w:hideMark/>
          </w:tcPr>
          <w:p w14:paraId="1D96B93C"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0.9965</w:t>
            </w:r>
          </w:p>
        </w:tc>
        <w:tc>
          <w:tcPr>
            <w:tcW w:w="960" w:type="dxa"/>
            <w:tcBorders>
              <w:top w:val="nil"/>
              <w:left w:val="nil"/>
              <w:bottom w:val="nil"/>
              <w:right w:val="nil"/>
            </w:tcBorders>
            <w:shd w:val="clear" w:color="auto" w:fill="auto"/>
            <w:noWrap/>
            <w:vAlign w:val="bottom"/>
            <w:hideMark/>
          </w:tcPr>
          <w:p w14:paraId="3A4CE54D"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1.2411</w:t>
            </w:r>
          </w:p>
        </w:tc>
        <w:tc>
          <w:tcPr>
            <w:tcW w:w="960" w:type="dxa"/>
            <w:tcBorders>
              <w:top w:val="nil"/>
              <w:left w:val="single" w:sz="4" w:space="0" w:color="auto"/>
              <w:bottom w:val="nil"/>
              <w:right w:val="single" w:sz="4" w:space="0" w:color="auto"/>
            </w:tcBorders>
            <w:shd w:val="clear" w:color="auto" w:fill="auto"/>
            <w:noWrap/>
            <w:vAlign w:val="bottom"/>
            <w:hideMark/>
          </w:tcPr>
          <w:p w14:paraId="33057EC9"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1.0859</w:t>
            </w:r>
          </w:p>
        </w:tc>
        <w:tc>
          <w:tcPr>
            <w:tcW w:w="960" w:type="dxa"/>
            <w:tcBorders>
              <w:top w:val="nil"/>
              <w:left w:val="nil"/>
              <w:bottom w:val="nil"/>
              <w:right w:val="single" w:sz="4" w:space="0" w:color="auto"/>
            </w:tcBorders>
            <w:shd w:val="clear" w:color="auto" w:fill="auto"/>
            <w:noWrap/>
            <w:vAlign w:val="bottom"/>
            <w:hideMark/>
          </w:tcPr>
          <w:p w14:paraId="74DDA741"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1.3519</w:t>
            </w:r>
          </w:p>
        </w:tc>
      </w:tr>
      <w:tr w:rsidR="00A30676" w:rsidRPr="00321EBA" w14:paraId="7368F85C" w14:textId="77777777" w:rsidTr="003D0E85">
        <w:trPr>
          <w:trHeight w:val="288"/>
        </w:trPr>
        <w:tc>
          <w:tcPr>
            <w:tcW w:w="1760" w:type="dxa"/>
            <w:tcBorders>
              <w:top w:val="nil"/>
              <w:left w:val="single" w:sz="4" w:space="0" w:color="auto"/>
              <w:bottom w:val="nil"/>
              <w:right w:val="nil"/>
            </w:tcBorders>
            <w:shd w:val="clear" w:color="auto" w:fill="auto"/>
            <w:noWrap/>
            <w:vAlign w:val="bottom"/>
            <w:hideMark/>
          </w:tcPr>
          <w:p w14:paraId="4F578820"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2015</w:t>
            </w:r>
          </w:p>
        </w:tc>
        <w:tc>
          <w:tcPr>
            <w:tcW w:w="960" w:type="dxa"/>
            <w:tcBorders>
              <w:top w:val="nil"/>
              <w:left w:val="single" w:sz="4" w:space="0" w:color="auto"/>
              <w:bottom w:val="nil"/>
              <w:right w:val="nil"/>
            </w:tcBorders>
            <w:shd w:val="clear" w:color="auto" w:fill="auto"/>
            <w:noWrap/>
            <w:vAlign w:val="bottom"/>
            <w:hideMark/>
          </w:tcPr>
          <w:p w14:paraId="6C0E05F8"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0.9752</w:t>
            </w:r>
          </w:p>
        </w:tc>
        <w:tc>
          <w:tcPr>
            <w:tcW w:w="960" w:type="dxa"/>
            <w:tcBorders>
              <w:top w:val="nil"/>
              <w:left w:val="single" w:sz="4" w:space="0" w:color="auto"/>
              <w:bottom w:val="nil"/>
              <w:right w:val="single" w:sz="4" w:space="0" w:color="auto"/>
            </w:tcBorders>
            <w:shd w:val="clear" w:color="auto" w:fill="auto"/>
            <w:noWrap/>
            <w:vAlign w:val="bottom"/>
            <w:hideMark/>
          </w:tcPr>
          <w:p w14:paraId="7107ECD5"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1.0064</w:t>
            </w:r>
          </w:p>
        </w:tc>
        <w:tc>
          <w:tcPr>
            <w:tcW w:w="960" w:type="dxa"/>
            <w:tcBorders>
              <w:top w:val="nil"/>
              <w:left w:val="nil"/>
              <w:bottom w:val="nil"/>
              <w:right w:val="single" w:sz="4" w:space="0" w:color="auto"/>
            </w:tcBorders>
            <w:shd w:val="clear" w:color="auto" w:fill="auto"/>
            <w:noWrap/>
            <w:vAlign w:val="bottom"/>
            <w:hideMark/>
          </w:tcPr>
          <w:p w14:paraId="58159D64"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0.9816</w:t>
            </w:r>
          </w:p>
        </w:tc>
        <w:tc>
          <w:tcPr>
            <w:tcW w:w="960" w:type="dxa"/>
            <w:tcBorders>
              <w:top w:val="nil"/>
              <w:left w:val="nil"/>
              <w:bottom w:val="single" w:sz="4" w:space="0" w:color="auto"/>
              <w:right w:val="nil"/>
            </w:tcBorders>
            <w:shd w:val="clear" w:color="auto" w:fill="auto"/>
            <w:noWrap/>
            <w:vAlign w:val="bottom"/>
            <w:hideMark/>
          </w:tcPr>
          <w:p w14:paraId="5043E277"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1.2104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53C09A"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1.0929</w:t>
            </w:r>
          </w:p>
        </w:tc>
        <w:tc>
          <w:tcPr>
            <w:tcW w:w="960" w:type="dxa"/>
            <w:tcBorders>
              <w:top w:val="nil"/>
              <w:left w:val="nil"/>
              <w:bottom w:val="single" w:sz="4" w:space="0" w:color="auto"/>
              <w:right w:val="single" w:sz="4" w:space="0" w:color="auto"/>
            </w:tcBorders>
            <w:shd w:val="clear" w:color="auto" w:fill="auto"/>
            <w:noWrap/>
            <w:vAlign w:val="bottom"/>
            <w:hideMark/>
          </w:tcPr>
          <w:p w14:paraId="4310B7D3"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1.3270</w:t>
            </w:r>
          </w:p>
        </w:tc>
      </w:tr>
      <w:tr w:rsidR="00A30676" w:rsidRPr="00321EBA" w14:paraId="23F74FAF" w14:textId="77777777" w:rsidTr="003D0E85">
        <w:trPr>
          <w:trHeight w:val="288"/>
        </w:trPr>
        <w:tc>
          <w:tcPr>
            <w:tcW w:w="1760" w:type="dxa"/>
            <w:tcBorders>
              <w:top w:val="single" w:sz="4" w:space="0" w:color="auto"/>
              <w:left w:val="single" w:sz="4" w:space="0" w:color="auto"/>
              <w:bottom w:val="nil"/>
              <w:right w:val="nil"/>
            </w:tcBorders>
            <w:shd w:val="clear" w:color="auto" w:fill="auto"/>
            <w:noWrap/>
            <w:vAlign w:val="bottom"/>
            <w:hideMark/>
          </w:tcPr>
          <w:p w14:paraId="1D0CD20B"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 </w:t>
            </w:r>
          </w:p>
        </w:tc>
        <w:tc>
          <w:tcPr>
            <w:tcW w:w="960" w:type="dxa"/>
            <w:tcBorders>
              <w:top w:val="single" w:sz="4" w:space="0" w:color="auto"/>
              <w:left w:val="single" w:sz="4" w:space="0" w:color="auto"/>
              <w:bottom w:val="nil"/>
              <w:right w:val="nil"/>
            </w:tcBorders>
            <w:shd w:val="clear" w:color="auto" w:fill="auto"/>
            <w:noWrap/>
            <w:vAlign w:val="bottom"/>
            <w:hideMark/>
          </w:tcPr>
          <w:p w14:paraId="0FE2A3C6"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04B1AA1E"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14:paraId="2ED7E371"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2B3D35C7" w14:textId="77777777" w:rsidR="00A30676" w:rsidRPr="00321EBA" w:rsidRDefault="00A30676" w:rsidP="003D0E85">
            <w:pPr>
              <w:spacing w:after="0" w:line="240" w:lineRule="auto"/>
              <w:rPr>
                <w:rFonts w:ascii="Calibri" w:eastAsia="Times New Roman" w:hAnsi="Calibri" w:cs="Calibri"/>
                <w:color w:val="000000"/>
                <w:lang w:eastAsia="en-GB"/>
              </w:rPr>
            </w:pPr>
          </w:p>
        </w:tc>
        <w:tc>
          <w:tcPr>
            <w:tcW w:w="960" w:type="dxa"/>
            <w:tcBorders>
              <w:top w:val="nil"/>
              <w:left w:val="single" w:sz="4" w:space="0" w:color="auto"/>
              <w:bottom w:val="nil"/>
              <w:right w:val="single" w:sz="4" w:space="0" w:color="auto"/>
            </w:tcBorders>
            <w:shd w:val="clear" w:color="auto" w:fill="auto"/>
            <w:noWrap/>
            <w:vAlign w:val="bottom"/>
            <w:hideMark/>
          </w:tcPr>
          <w:p w14:paraId="6644D0F5"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14:paraId="791133A6"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 </w:t>
            </w:r>
          </w:p>
        </w:tc>
      </w:tr>
      <w:tr w:rsidR="00A30676" w:rsidRPr="00321EBA" w14:paraId="0258F4CD" w14:textId="77777777" w:rsidTr="003D0E85">
        <w:trPr>
          <w:trHeight w:val="288"/>
        </w:trPr>
        <w:tc>
          <w:tcPr>
            <w:tcW w:w="1760" w:type="dxa"/>
            <w:tcBorders>
              <w:top w:val="single" w:sz="4" w:space="0" w:color="auto"/>
              <w:left w:val="single" w:sz="4" w:space="0" w:color="auto"/>
              <w:bottom w:val="single" w:sz="4" w:space="0" w:color="auto"/>
              <w:right w:val="nil"/>
            </w:tcBorders>
            <w:shd w:val="clear" w:color="auto" w:fill="auto"/>
            <w:noWrap/>
            <w:vAlign w:val="bottom"/>
            <w:hideMark/>
          </w:tcPr>
          <w:p w14:paraId="61B8A119"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Annual Mean</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03092297"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1.0107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09A8E"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1.0049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B5E6B2"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1.0158</w:t>
            </w:r>
          </w:p>
        </w:tc>
        <w:tc>
          <w:tcPr>
            <w:tcW w:w="960" w:type="dxa"/>
            <w:tcBorders>
              <w:top w:val="nil"/>
              <w:left w:val="nil"/>
              <w:bottom w:val="nil"/>
              <w:right w:val="nil"/>
            </w:tcBorders>
            <w:shd w:val="clear" w:color="auto" w:fill="auto"/>
            <w:noWrap/>
            <w:vAlign w:val="bottom"/>
            <w:hideMark/>
          </w:tcPr>
          <w:p w14:paraId="4D60127B" w14:textId="77777777" w:rsidR="00A30676" w:rsidRPr="00321EBA" w:rsidRDefault="00A30676" w:rsidP="003D0E85">
            <w:pPr>
              <w:spacing w:after="0" w:line="240" w:lineRule="auto"/>
              <w:jc w:val="right"/>
              <w:rPr>
                <w:rFonts w:ascii="Calibri" w:eastAsia="Times New Roman" w:hAnsi="Calibri" w:cs="Calibri"/>
                <w:color w:val="000000"/>
                <w:lang w:eastAsia="en-GB"/>
              </w:rPr>
            </w:pPr>
          </w:p>
        </w:tc>
        <w:tc>
          <w:tcPr>
            <w:tcW w:w="960" w:type="dxa"/>
            <w:tcBorders>
              <w:top w:val="nil"/>
              <w:left w:val="single" w:sz="4" w:space="0" w:color="auto"/>
              <w:bottom w:val="nil"/>
              <w:right w:val="single" w:sz="4" w:space="0" w:color="auto"/>
            </w:tcBorders>
            <w:shd w:val="clear" w:color="auto" w:fill="auto"/>
            <w:noWrap/>
            <w:vAlign w:val="bottom"/>
            <w:hideMark/>
          </w:tcPr>
          <w:p w14:paraId="79B1CE06"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14:paraId="3539B81D"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 </w:t>
            </w:r>
          </w:p>
        </w:tc>
      </w:tr>
      <w:tr w:rsidR="00A30676" w:rsidRPr="00321EBA" w14:paraId="34EBD8AC" w14:textId="77777777" w:rsidTr="003D0E85">
        <w:trPr>
          <w:trHeight w:val="288"/>
        </w:trPr>
        <w:tc>
          <w:tcPr>
            <w:tcW w:w="1760" w:type="dxa"/>
            <w:tcBorders>
              <w:top w:val="nil"/>
              <w:left w:val="single" w:sz="4" w:space="0" w:color="auto"/>
              <w:bottom w:val="single" w:sz="4" w:space="0" w:color="auto"/>
              <w:right w:val="nil"/>
            </w:tcBorders>
            <w:shd w:val="clear" w:color="auto" w:fill="auto"/>
            <w:noWrap/>
            <w:vAlign w:val="bottom"/>
            <w:hideMark/>
          </w:tcPr>
          <w:p w14:paraId="29B3FBCB"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Cumulative Change</w:t>
            </w:r>
          </w:p>
        </w:tc>
        <w:tc>
          <w:tcPr>
            <w:tcW w:w="960" w:type="dxa"/>
            <w:tcBorders>
              <w:top w:val="nil"/>
              <w:left w:val="single" w:sz="4" w:space="0" w:color="auto"/>
              <w:bottom w:val="single" w:sz="4" w:space="0" w:color="auto"/>
              <w:right w:val="nil"/>
            </w:tcBorders>
            <w:shd w:val="clear" w:color="auto" w:fill="auto"/>
            <w:noWrap/>
            <w:vAlign w:val="bottom"/>
            <w:hideMark/>
          </w:tcPr>
          <w:p w14:paraId="78CF71BD"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494B4C15"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8B2952C" w14:textId="77777777" w:rsidR="00A30676" w:rsidRPr="00321EBA" w:rsidRDefault="00A30676" w:rsidP="003D0E85">
            <w:pPr>
              <w:spacing w:after="0" w:line="240" w:lineRule="auto"/>
              <w:rPr>
                <w:rFonts w:ascii="Calibri" w:eastAsia="Times New Roman" w:hAnsi="Calibri" w:cs="Calibri"/>
                <w:color w:val="000000"/>
                <w:lang w:eastAsia="en-GB"/>
              </w:rPr>
            </w:pPr>
            <w:r w:rsidRPr="00321EBA">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nil"/>
            </w:tcBorders>
            <w:shd w:val="clear" w:color="auto" w:fill="auto"/>
            <w:noWrap/>
            <w:vAlign w:val="bottom"/>
            <w:hideMark/>
          </w:tcPr>
          <w:p w14:paraId="2611A722"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1.2104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57748"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1.0929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FDB3EA" w14:textId="77777777" w:rsidR="00A30676" w:rsidRPr="00321EBA" w:rsidRDefault="00A30676" w:rsidP="003D0E85">
            <w:pPr>
              <w:spacing w:after="0" w:line="240" w:lineRule="auto"/>
              <w:jc w:val="right"/>
              <w:rPr>
                <w:rFonts w:ascii="Calibri" w:eastAsia="Times New Roman" w:hAnsi="Calibri" w:cs="Calibri"/>
                <w:color w:val="000000"/>
                <w:lang w:eastAsia="en-GB"/>
              </w:rPr>
            </w:pPr>
            <w:r w:rsidRPr="00321EBA">
              <w:rPr>
                <w:rFonts w:ascii="Calibri" w:eastAsia="Times New Roman" w:hAnsi="Calibri" w:cs="Calibri"/>
                <w:color w:val="000000"/>
                <w:lang w:eastAsia="en-GB"/>
              </w:rPr>
              <w:t>1.3270</w:t>
            </w:r>
          </w:p>
        </w:tc>
      </w:tr>
    </w:tbl>
    <w:p w14:paraId="56E40EF5" w14:textId="7B505CBF" w:rsidR="00A30676" w:rsidRDefault="00A30676" w:rsidP="00A30676"/>
    <w:p w14:paraId="061EA9FE" w14:textId="3E6B1D53" w:rsidR="00A30676" w:rsidRDefault="00A30676" w:rsidP="00A30676">
      <w:r>
        <w:t xml:space="preserve">Figure </w:t>
      </w:r>
      <w:r w:rsidR="003D0E85">
        <w:t>2a</w:t>
      </w:r>
      <w:r>
        <w:t>: British Passenger Rail Productivity, Efficiency Change, Technical Change and Total Factor Productivity Change, 1998 to 2015</w:t>
      </w:r>
    </w:p>
    <w:p w14:paraId="616C38B5" w14:textId="77777777" w:rsidR="00A30676" w:rsidRDefault="00A30676" w:rsidP="00A30676">
      <w:pPr>
        <w:jc w:val="center"/>
      </w:pPr>
      <w:r>
        <w:rPr>
          <w:noProof/>
          <w:lang w:eastAsia="en-GB"/>
        </w:rPr>
        <w:drawing>
          <wp:inline distT="0" distB="0" distL="0" distR="0" wp14:anchorId="5D5BB04B" wp14:editId="2187091C">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C863E1" w14:textId="11E72732" w:rsidR="00A30676" w:rsidRDefault="00A30676" w:rsidP="00A30676">
      <w:r>
        <w:t xml:space="preserve">Examining the overall and annual means in Table </w:t>
      </w:r>
      <w:r w:rsidR="00D86089">
        <w:t>1</w:t>
      </w:r>
      <w:r w:rsidR="003D0E85">
        <w:t>a</w:t>
      </w:r>
      <w:r>
        <w:t>, over the whole time period the DEA based results estimate that TFP rose by just over 1.5% per annum, w</w:t>
      </w:r>
      <w:r w:rsidR="007F05F9">
        <w:t xml:space="preserve">hich </w:t>
      </w:r>
      <w:r>
        <w:t>rang</w:t>
      </w:r>
      <w:r w:rsidR="007F05F9">
        <w:t>es</w:t>
      </w:r>
      <w:r>
        <w:t xml:space="preserve"> from a high of just under 5% to a low of a 2% decline.  Most improvement came as a consequence of efficiency change (just over 1%</w:t>
      </w:r>
      <w:r w:rsidR="009268BF">
        <w:t xml:space="preserve"> pa</w:t>
      </w:r>
      <w:r>
        <w:t>), along with small gains in technical change (around 0.5%</w:t>
      </w:r>
      <w:r w:rsidR="00D0648C">
        <w:t xml:space="preserve"> pa</w:t>
      </w:r>
      <w:r>
        <w:t xml:space="preserve">).  </w:t>
      </w:r>
      <w:r w:rsidR="0095257F">
        <w:t xml:space="preserve"> E</w:t>
      </w:r>
      <w:r w:rsidR="009A1F46">
        <w:t>x</w:t>
      </w:r>
      <w:r>
        <w:t xml:space="preserve">amining how </w:t>
      </w:r>
      <w:r w:rsidR="009A1F46">
        <w:t>TFP</w:t>
      </w:r>
      <w:r>
        <w:t xml:space="preserve"> evolved over the time period</w:t>
      </w:r>
      <w:r w:rsidR="0095257F">
        <w:t xml:space="preserve"> however</w:t>
      </w:r>
      <w:r>
        <w:t xml:space="preserve"> produces a </w:t>
      </w:r>
      <w:r w:rsidR="005814D7">
        <w:t>more</w:t>
      </w:r>
      <w:r>
        <w:t xml:space="preserve"> confused picture</w:t>
      </w:r>
      <w:r w:rsidR="00F359BE">
        <w:t xml:space="preserve">.  </w:t>
      </w:r>
      <w:r w:rsidR="0095257F">
        <w:t xml:space="preserve">Figure 2a for example </w:t>
      </w:r>
      <w:r w:rsidR="00F359BE">
        <w:t xml:space="preserve">shows </w:t>
      </w:r>
      <w:r>
        <w:t>large swings in all three elements, and no real consistency or general patterns in terms of periods of progressive</w:t>
      </w:r>
      <w:r w:rsidR="007F05F9">
        <w:t>/regressive</w:t>
      </w:r>
      <w:r>
        <w:t xml:space="preserve"> development in any of the three measures.  This is a common </w:t>
      </w:r>
      <w:r w:rsidR="00595A99">
        <w:t>occurrence</w:t>
      </w:r>
      <w:r>
        <w:t xml:space="preserve"> in transport productivity</w:t>
      </w:r>
      <w:r w:rsidR="0072084B">
        <w:t xml:space="preserve"> studies</w:t>
      </w:r>
      <w:r w:rsidR="00AF23EF">
        <w:t xml:space="preserve"> that use this approach</w:t>
      </w:r>
      <w:r>
        <w:t>, due to the fact that positive technical change shifts best practice</w:t>
      </w:r>
      <w:r w:rsidR="0072084B">
        <w:t>, which in turn creates</w:t>
      </w:r>
      <w:r>
        <w:t xml:space="preserve"> inefficiencies that did not exist before</w:t>
      </w:r>
      <w:r w:rsidR="007F05F9">
        <w:t>, i.e. adverse efficiency change</w:t>
      </w:r>
      <w:r>
        <w:t>.   As a consequence, the two plots of the annual averages continually cross over time, with the TFP trend slotting somewhere between the two</w:t>
      </w:r>
      <w:r w:rsidR="0072084B">
        <w:t xml:space="preserve">.  What this does is tend </w:t>
      </w:r>
      <w:r>
        <w:t>to mask any general pattern</w:t>
      </w:r>
      <w:r w:rsidR="002E3697">
        <w:t>s</w:t>
      </w:r>
      <w:r>
        <w:t xml:space="preserve"> o</w:t>
      </w:r>
      <w:r w:rsidR="0072084B">
        <w:t>r</w:t>
      </w:r>
      <w:r>
        <w:t xml:space="preserve"> trends.  That said, figure 1a does suggest that TFP and EC improved more strongly over the first ten years of the period, and this is confirmed in Table </w:t>
      </w:r>
      <w:r w:rsidR="00F359BE">
        <w:t>1</w:t>
      </w:r>
      <w:r>
        <w:t>b through the calculation of mean values to and from 2009.</w:t>
      </w:r>
    </w:p>
    <w:p w14:paraId="15AC6657" w14:textId="28744513" w:rsidR="00A30676" w:rsidRDefault="00F359BE" w:rsidP="00A30676">
      <w:pPr>
        <w:jc w:val="center"/>
      </w:pPr>
      <w:r>
        <w:t>Table 1</w:t>
      </w:r>
      <w:r w:rsidR="00A30676">
        <w:t>b: Annual mean values, EC, TC and TFP, 1998 to 2009 and 2009 to 2015</w:t>
      </w:r>
    </w:p>
    <w:tbl>
      <w:tblPr>
        <w:tblW w:w="5954" w:type="dxa"/>
        <w:jc w:val="center"/>
        <w:tblLook w:val="04A0" w:firstRow="1" w:lastRow="0" w:firstColumn="1" w:lastColumn="0" w:noHBand="0" w:noVBand="1"/>
      </w:tblPr>
      <w:tblGrid>
        <w:gridCol w:w="3402"/>
        <w:gridCol w:w="851"/>
        <w:gridCol w:w="850"/>
        <w:gridCol w:w="851"/>
      </w:tblGrid>
      <w:tr w:rsidR="00A30676" w:rsidRPr="003B3C16" w14:paraId="4C6DA5C7" w14:textId="77777777" w:rsidTr="003D0E85">
        <w:trPr>
          <w:trHeight w:val="300"/>
          <w:jc w:val="center"/>
        </w:trPr>
        <w:tc>
          <w:tcPr>
            <w:tcW w:w="3402" w:type="dxa"/>
            <w:tcBorders>
              <w:top w:val="single" w:sz="4" w:space="0" w:color="auto"/>
              <w:left w:val="single" w:sz="4" w:space="0" w:color="auto"/>
              <w:bottom w:val="single" w:sz="4" w:space="0" w:color="auto"/>
              <w:right w:val="single" w:sz="4" w:space="0" w:color="auto"/>
            </w:tcBorders>
          </w:tcPr>
          <w:p w14:paraId="11DEC28B" w14:textId="77777777" w:rsidR="00A30676" w:rsidRPr="003B3C16" w:rsidRDefault="00A30676" w:rsidP="003D0E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Period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A050C" w14:textId="77777777" w:rsidR="00A30676" w:rsidRPr="003B3C16" w:rsidRDefault="00A30676" w:rsidP="003D0E85">
            <w:pPr>
              <w:spacing w:after="0" w:line="240" w:lineRule="auto"/>
              <w:rPr>
                <w:rFonts w:ascii="Calibri" w:eastAsia="Times New Roman" w:hAnsi="Calibri" w:cs="Calibri"/>
                <w:color w:val="000000"/>
                <w:lang w:eastAsia="en-GB"/>
              </w:rPr>
            </w:pPr>
            <w:r w:rsidRPr="003B3C16">
              <w:rPr>
                <w:rFonts w:ascii="Calibri" w:eastAsia="Times New Roman" w:hAnsi="Calibri" w:cs="Calibri"/>
                <w:color w:val="000000"/>
                <w:lang w:eastAsia="en-GB"/>
              </w:rPr>
              <w:t>EC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059D4" w14:textId="77777777" w:rsidR="00A30676" w:rsidRPr="003B3C16" w:rsidRDefault="00A30676" w:rsidP="003D0E85">
            <w:pPr>
              <w:spacing w:after="0" w:line="240" w:lineRule="auto"/>
              <w:rPr>
                <w:rFonts w:ascii="Calibri" w:eastAsia="Times New Roman" w:hAnsi="Calibri" w:cs="Calibri"/>
                <w:color w:val="000000"/>
                <w:lang w:eastAsia="en-GB"/>
              </w:rPr>
            </w:pPr>
            <w:r w:rsidRPr="003B3C16">
              <w:rPr>
                <w:rFonts w:ascii="Calibri" w:eastAsia="Times New Roman" w:hAnsi="Calibri" w:cs="Calibri"/>
                <w:color w:val="000000"/>
                <w:lang w:eastAsia="en-GB"/>
              </w:rPr>
              <w:t>TC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2E3E6" w14:textId="77777777" w:rsidR="00A30676" w:rsidRPr="003B3C16" w:rsidRDefault="00A30676" w:rsidP="003D0E85">
            <w:pPr>
              <w:spacing w:after="0" w:line="240" w:lineRule="auto"/>
              <w:rPr>
                <w:rFonts w:ascii="Calibri" w:eastAsia="Times New Roman" w:hAnsi="Calibri" w:cs="Calibri"/>
                <w:color w:val="000000"/>
                <w:lang w:eastAsia="en-GB"/>
              </w:rPr>
            </w:pPr>
            <w:r w:rsidRPr="003B3C16">
              <w:rPr>
                <w:rFonts w:ascii="Calibri" w:eastAsia="Times New Roman" w:hAnsi="Calibri" w:cs="Calibri"/>
                <w:color w:val="000000"/>
                <w:lang w:eastAsia="en-GB"/>
              </w:rPr>
              <w:t>TFP</w:t>
            </w:r>
          </w:p>
        </w:tc>
      </w:tr>
      <w:tr w:rsidR="00A30676" w:rsidRPr="003B3C16" w14:paraId="6F41E7BB" w14:textId="77777777" w:rsidTr="003D0E85">
        <w:trPr>
          <w:trHeight w:val="300"/>
          <w:jc w:val="center"/>
        </w:trPr>
        <w:tc>
          <w:tcPr>
            <w:tcW w:w="3402" w:type="dxa"/>
            <w:tcBorders>
              <w:top w:val="single" w:sz="4" w:space="0" w:color="auto"/>
              <w:left w:val="single" w:sz="4" w:space="0" w:color="auto"/>
              <w:bottom w:val="nil"/>
              <w:right w:val="single" w:sz="4" w:space="0" w:color="auto"/>
            </w:tcBorders>
          </w:tcPr>
          <w:p w14:paraId="257D981D" w14:textId="77777777" w:rsidR="00A30676" w:rsidRPr="003B3C16" w:rsidRDefault="00A30676" w:rsidP="003D0E8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Annual mean value 1998 to 2009</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14:paraId="5E415BB0" w14:textId="77777777" w:rsidR="00A30676" w:rsidRPr="003B3C16" w:rsidRDefault="00A30676" w:rsidP="003D0E85">
            <w:pPr>
              <w:spacing w:after="0" w:line="240" w:lineRule="auto"/>
              <w:jc w:val="right"/>
              <w:rPr>
                <w:rFonts w:ascii="Calibri" w:eastAsia="Times New Roman" w:hAnsi="Calibri" w:cs="Calibri"/>
                <w:color w:val="000000"/>
                <w:lang w:eastAsia="en-GB"/>
              </w:rPr>
            </w:pPr>
            <w:r w:rsidRPr="003B3C16">
              <w:rPr>
                <w:rFonts w:ascii="Calibri" w:eastAsia="Times New Roman" w:hAnsi="Calibri" w:cs="Calibri"/>
                <w:color w:val="000000"/>
                <w:lang w:eastAsia="en-GB"/>
              </w:rPr>
              <w:t>1.01</w:t>
            </w:r>
            <w:r>
              <w:rPr>
                <w:rFonts w:ascii="Calibri" w:eastAsia="Times New Roman" w:hAnsi="Calibri" w:cs="Calibri"/>
                <w:color w:val="000000"/>
                <w:lang w:eastAsia="en-GB"/>
              </w:rPr>
              <w:t>57</w:t>
            </w:r>
          </w:p>
        </w:tc>
        <w:tc>
          <w:tcPr>
            <w:tcW w:w="850" w:type="dxa"/>
            <w:tcBorders>
              <w:top w:val="single" w:sz="4" w:space="0" w:color="auto"/>
              <w:left w:val="single" w:sz="4" w:space="0" w:color="auto"/>
              <w:bottom w:val="nil"/>
              <w:right w:val="single" w:sz="4" w:space="0" w:color="auto"/>
            </w:tcBorders>
            <w:shd w:val="clear" w:color="auto" w:fill="auto"/>
            <w:noWrap/>
            <w:vAlign w:val="bottom"/>
            <w:hideMark/>
          </w:tcPr>
          <w:p w14:paraId="0C674FE6" w14:textId="77777777" w:rsidR="00A30676" w:rsidRPr="003B3C16" w:rsidRDefault="00A30676" w:rsidP="003D0E85">
            <w:pPr>
              <w:spacing w:after="0" w:line="240" w:lineRule="auto"/>
              <w:jc w:val="right"/>
              <w:rPr>
                <w:rFonts w:ascii="Calibri" w:eastAsia="Times New Roman" w:hAnsi="Calibri" w:cs="Calibri"/>
                <w:color w:val="000000"/>
                <w:lang w:eastAsia="en-GB"/>
              </w:rPr>
            </w:pPr>
            <w:r w:rsidRPr="003B3C16">
              <w:rPr>
                <w:rFonts w:ascii="Calibri" w:eastAsia="Times New Roman" w:hAnsi="Calibri" w:cs="Calibri"/>
                <w:color w:val="000000"/>
                <w:lang w:eastAsia="en-GB"/>
              </w:rPr>
              <w:t>1.0</w:t>
            </w:r>
            <w:r>
              <w:rPr>
                <w:rFonts w:ascii="Calibri" w:eastAsia="Times New Roman" w:hAnsi="Calibri" w:cs="Calibri"/>
                <w:color w:val="000000"/>
                <w:lang w:eastAsia="en-GB"/>
              </w:rPr>
              <w:t>066</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14:paraId="7270DFAD" w14:textId="77777777" w:rsidR="00A30676" w:rsidRPr="003B3C16" w:rsidRDefault="00A30676" w:rsidP="003D0E85">
            <w:pPr>
              <w:spacing w:after="0" w:line="240" w:lineRule="auto"/>
              <w:jc w:val="right"/>
              <w:rPr>
                <w:rFonts w:ascii="Calibri" w:eastAsia="Times New Roman" w:hAnsi="Calibri" w:cs="Calibri"/>
                <w:color w:val="000000"/>
                <w:lang w:eastAsia="en-GB"/>
              </w:rPr>
            </w:pPr>
            <w:r w:rsidRPr="003B3C16">
              <w:rPr>
                <w:rFonts w:ascii="Calibri" w:eastAsia="Times New Roman" w:hAnsi="Calibri" w:cs="Calibri"/>
                <w:color w:val="000000"/>
                <w:lang w:eastAsia="en-GB"/>
              </w:rPr>
              <w:t>1.0</w:t>
            </w:r>
            <w:r>
              <w:rPr>
                <w:rFonts w:ascii="Calibri" w:eastAsia="Times New Roman" w:hAnsi="Calibri" w:cs="Calibri"/>
                <w:color w:val="000000"/>
                <w:lang w:eastAsia="en-GB"/>
              </w:rPr>
              <w:t>227</w:t>
            </w:r>
          </w:p>
        </w:tc>
      </w:tr>
      <w:tr w:rsidR="00A30676" w:rsidRPr="003B3C16" w14:paraId="5E7C0AA0" w14:textId="77777777" w:rsidTr="003D0E85">
        <w:trPr>
          <w:trHeight w:val="300"/>
          <w:jc w:val="center"/>
        </w:trPr>
        <w:tc>
          <w:tcPr>
            <w:tcW w:w="3402" w:type="dxa"/>
            <w:tcBorders>
              <w:top w:val="nil"/>
              <w:left w:val="single" w:sz="4" w:space="0" w:color="auto"/>
              <w:bottom w:val="single" w:sz="4" w:space="0" w:color="auto"/>
              <w:right w:val="single" w:sz="4" w:space="0" w:color="auto"/>
            </w:tcBorders>
          </w:tcPr>
          <w:p w14:paraId="4E63E2C0" w14:textId="77777777" w:rsidR="00A30676" w:rsidRPr="003B3C16" w:rsidRDefault="00A30676" w:rsidP="003D0E8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Annual mean value 2009 to 2015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FEB64A" w14:textId="77777777" w:rsidR="00A30676" w:rsidRPr="003B3C16" w:rsidRDefault="00A30676" w:rsidP="003D0E85">
            <w:pPr>
              <w:spacing w:after="0" w:line="240" w:lineRule="auto"/>
              <w:jc w:val="right"/>
              <w:rPr>
                <w:rFonts w:ascii="Calibri" w:eastAsia="Times New Roman" w:hAnsi="Calibri" w:cs="Calibri"/>
                <w:color w:val="000000"/>
                <w:lang w:eastAsia="en-GB"/>
              </w:rPr>
            </w:pPr>
            <w:r w:rsidRPr="003B3C16">
              <w:rPr>
                <w:rFonts w:ascii="Calibri" w:eastAsia="Times New Roman" w:hAnsi="Calibri" w:cs="Calibri"/>
                <w:color w:val="000000"/>
                <w:lang w:eastAsia="en-GB"/>
              </w:rPr>
              <w:t>0.99</w:t>
            </w:r>
            <w:r>
              <w:rPr>
                <w:rFonts w:ascii="Calibri" w:eastAsia="Times New Roman" w:hAnsi="Calibri" w:cs="Calibri"/>
                <w:color w:val="000000"/>
                <w:lang w:eastAsia="en-GB"/>
              </w:rPr>
              <w:t>61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EA42D39" w14:textId="77777777" w:rsidR="00A30676" w:rsidRPr="003B3C16" w:rsidRDefault="00A30676" w:rsidP="003D0E85">
            <w:pPr>
              <w:spacing w:after="0" w:line="240" w:lineRule="auto"/>
              <w:jc w:val="right"/>
              <w:rPr>
                <w:rFonts w:ascii="Calibri" w:eastAsia="Times New Roman" w:hAnsi="Calibri" w:cs="Calibri"/>
                <w:color w:val="000000"/>
                <w:lang w:eastAsia="en-GB"/>
              </w:rPr>
            </w:pPr>
            <w:r w:rsidRPr="003B3C16">
              <w:rPr>
                <w:rFonts w:ascii="Calibri" w:eastAsia="Times New Roman" w:hAnsi="Calibri" w:cs="Calibri"/>
                <w:color w:val="000000"/>
                <w:lang w:eastAsia="en-GB"/>
              </w:rPr>
              <w:t>1.0</w:t>
            </w:r>
            <w:r>
              <w:rPr>
                <w:rFonts w:ascii="Calibri" w:eastAsia="Times New Roman" w:hAnsi="Calibri" w:cs="Calibri"/>
                <w:color w:val="000000"/>
                <w:lang w:eastAsia="en-GB"/>
              </w:rPr>
              <w:t>107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678C3E" w14:textId="77777777" w:rsidR="00A30676" w:rsidRPr="003B3C16" w:rsidRDefault="00A30676" w:rsidP="003D0E85">
            <w:pPr>
              <w:spacing w:after="0" w:line="240" w:lineRule="auto"/>
              <w:jc w:val="right"/>
              <w:rPr>
                <w:rFonts w:ascii="Calibri" w:eastAsia="Times New Roman" w:hAnsi="Calibri" w:cs="Calibri"/>
                <w:color w:val="000000"/>
                <w:lang w:eastAsia="en-GB"/>
              </w:rPr>
            </w:pPr>
            <w:r w:rsidRPr="003B3C16">
              <w:rPr>
                <w:rFonts w:ascii="Calibri" w:eastAsia="Times New Roman" w:hAnsi="Calibri" w:cs="Calibri"/>
                <w:color w:val="000000"/>
                <w:lang w:eastAsia="en-GB"/>
              </w:rPr>
              <w:t>1.0</w:t>
            </w:r>
            <w:r>
              <w:rPr>
                <w:rFonts w:ascii="Calibri" w:eastAsia="Times New Roman" w:hAnsi="Calibri" w:cs="Calibri"/>
                <w:color w:val="000000"/>
                <w:lang w:eastAsia="en-GB"/>
              </w:rPr>
              <w:t>069</w:t>
            </w:r>
          </w:p>
        </w:tc>
      </w:tr>
    </w:tbl>
    <w:p w14:paraId="57B08FBD" w14:textId="77777777" w:rsidR="00A30676" w:rsidRDefault="00A30676" w:rsidP="00A30676"/>
    <w:p w14:paraId="1DA19B27" w14:textId="130462DA" w:rsidR="0095257F" w:rsidRDefault="00A30676" w:rsidP="0095257F">
      <w:r>
        <w:t xml:space="preserve">The division at 2009 provides an interesting contrast, as the first period is characterised by relatively large and inconsistent improvements in efficiency in addition to small gains in technical change, whilst by the second period </w:t>
      </w:r>
      <w:r w:rsidR="0095257F">
        <w:t xml:space="preserve">efficiency gains </w:t>
      </w:r>
      <w:r>
        <w:t xml:space="preserve">had largely </w:t>
      </w:r>
      <w:r w:rsidR="00844253">
        <w:t xml:space="preserve">been </w:t>
      </w:r>
      <w:r>
        <w:t xml:space="preserve">exhausted and the prime driver of TFP was technical change.  </w:t>
      </w:r>
      <w:r w:rsidR="007F05F9">
        <w:t>The very early efficiency gains</w:t>
      </w:r>
      <w:r w:rsidR="0095257F">
        <w:t xml:space="preserve"> would also appear to suggest a level of inefficiency ‘inherited’ from the former state operator British Rail (BR), and </w:t>
      </w:r>
      <w:r w:rsidR="007F05F9">
        <w:t xml:space="preserve">similarly </w:t>
      </w:r>
      <w:r w:rsidR="0095257F">
        <w:t>the very early (i.e. pre Hatfield) improvements in technical progress</w:t>
      </w:r>
      <w:r w:rsidR="007F05F9">
        <w:t xml:space="preserve"> would indicate</w:t>
      </w:r>
      <w:r w:rsidR="0095257F">
        <w:t xml:space="preserve"> that the constraints that BR was operating under, the most obvious being the limit</w:t>
      </w:r>
      <w:r w:rsidR="00CC6FC9">
        <w:t xml:space="preserve"> on </w:t>
      </w:r>
      <w:r w:rsidR="0095257F">
        <w:t xml:space="preserve">the level of </w:t>
      </w:r>
      <w:r w:rsidR="00CC6FC9">
        <w:t xml:space="preserve">external </w:t>
      </w:r>
      <w:r w:rsidR="0095257F">
        <w:t xml:space="preserve">borrowings, did have an adverse effect on technical progress. </w:t>
      </w:r>
    </w:p>
    <w:p w14:paraId="7B5FD131" w14:textId="2A5111A0" w:rsidR="00A30676" w:rsidRDefault="00A30676" w:rsidP="00A30676">
      <w:r>
        <w:t xml:space="preserve">Also shown in Table </w:t>
      </w:r>
      <w:r w:rsidR="00F359BE">
        <w:t>1</w:t>
      </w:r>
      <w:r w:rsidR="003D0E85">
        <w:t>a</w:t>
      </w:r>
      <w:r>
        <w:t xml:space="preserve"> is the cumulative effect that annual productivity improvements had over the time period, and these are shown graphically in Figure </w:t>
      </w:r>
      <w:r w:rsidR="003D0E85">
        <w:t>2</w:t>
      </w:r>
      <w:r w:rsidR="00F359BE">
        <w:t>b</w:t>
      </w:r>
      <w:r>
        <w:t>.</w:t>
      </w:r>
    </w:p>
    <w:p w14:paraId="600A85CA" w14:textId="77777777" w:rsidR="009D262C" w:rsidRDefault="009D262C">
      <w:r>
        <w:br w:type="page"/>
      </w:r>
    </w:p>
    <w:p w14:paraId="25E9472E" w14:textId="23B48978" w:rsidR="00A30676" w:rsidRDefault="00A30676" w:rsidP="00A30676">
      <w:pPr>
        <w:jc w:val="center"/>
      </w:pPr>
      <w:r>
        <w:t xml:space="preserve">Figure </w:t>
      </w:r>
      <w:r w:rsidR="003D0E85">
        <w:t>2</w:t>
      </w:r>
      <w:r w:rsidR="00F359BE">
        <w:t>b</w:t>
      </w:r>
      <w:r>
        <w:t>: British Passenger Rail Productivity, Cumulative Effects of Efficiency Change, Technical Change and Total Factor Productivity Change</w:t>
      </w:r>
    </w:p>
    <w:p w14:paraId="015C654A" w14:textId="77777777" w:rsidR="00A30676" w:rsidRDefault="00A30676" w:rsidP="00A30676">
      <w:pPr>
        <w:jc w:val="center"/>
      </w:pPr>
      <w:r>
        <w:rPr>
          <w:noProof/>
          <w:lang w:eastAsia="en-GB"/>
        </w:rPr>
        <w:drawing>
          <wp:inline distT="0" distB="0" distL="0" distR="0" wp14:anchorId="5475452C" wp14:editId="31EB8632">
            <wp:extent cx="4572000" cy="2714625"/>
            <wp:effectExtent l="0" t="0" r="0" b="9525"/>
            <wp:docPr id="6" name="Chart 6">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A6767D" w14:textId="09C47C3B" w:rsidR="00A30676" w:rsidRDefault="00A30676" w:rsidP="00A30676">
      <w:r>
        <w:t xml:space="preserve">The cumulative figures tend to </w:t>
      </w:r>
      <w:r w:rsidR="00AF27A6">
        <w:t>bring out</w:t>
      </w:r>
      <w:r>
        <w:t xml:space="preserve"> general trends</w:t>
      </w:r>
      <w:r w:rsidR="00AF27A6">
        <w:t xml:space="preserve"> far better than the annual mean values</w:t>
      </w:r>
      <w:r>
        <w:t xml:space="preserve">, and do clearly confirm the general slowdown (but more consistent) TFP gain in the second part of the period.  </w:t>
      </w:r>
      <w:r w:rsidR="00F359BE">
        <w:t>S</w:t>
      </w:r>
      <w:r>
        <w:t>how</w:t>
      </w:r>
      <w:r w:rsidR="00F359BE">
        <w:t>n</w:t>
      </w:r>
      <w:r>
        <w:t xml:space="preserve"> particularly well is the progress of technical change.  Nevertheless, whilst it does produce a clearer insight than results based on the annual means, several issues</w:t>
      </w:r>
      <w:r w:rsidR="003247C0">
        <w:t xml:space="preserve"> still remain.  Most</w:t>
      </w:r>
      <w:r>
        <w:t xml:space="preserve"> </w:t>
      </w:r>
      <w:r w:rsidR="00F359BE">
        <w:t>notably</w:t>
      </w:r>
      <w:r>
        <w:t xml:space="preserve"> the results still tend to be quite ‘clunky’ and at times interpretation becomes difficult.  Furthermore, the period 2002 to 2008 produces very large gains in EC, but net reductions in TC, with the net impact on TFP of a 15% gain and all of this coming from EC.  Contained in that period is a TC fall of over 8% in a single year (2006), which relatively speaking is a </w:t>
      </w:r>
      <w:r w:rsidR="003247C0">
        <w:t xml:space="preserve">rate of </w:t>
      </w:r>
      <w:r>
        <w:t>decline that in reality is difficult to believe, particularly given that overall TFP only fell by just over 2%.  This tends to suggest method estimation issues</w:t>
      </w:r>
      <w:r w:rsidR="001907D2">
        <w:t xml:space="preserve"> rather than real technical change, and these are discussed </w:t>
      </w:r>
      <w:r w:rsidR="00317955">
        <w:t>below</w:t>
      </w:r>
      <w:r>
        <w:t xml:space="preserve">.  One final point is that in half of the sixteen time periods reviewed there is adverse technical change, although the effect of this in the later years are put more in context by the cumulative values (only a very minor decrease).  </w:t>
      </w:r>
      <w:r w:rsidR="00317955">
        <w:t>Nevertheless, w</w:t>
      </w:r>
      <w:r>
        <w:t xml:space="preserve">hilst one of those instances (2001) is because of line </w:t>
      </w:r>
      <w:r w:rsidR="00844253">
        <w:t xml:space="preserve">speed </w:t>
      </w:r>
      <w:r>
        <w:t xml:space="preserve">restrictions as a result of the Hatfield accident, the others are very difficult to explain, particularly the highlighted large decline in 2006. </w:t>
      </w:r>
    </w:p>
    <w:p w14:paraId="1D1C7281" w14:textId="726D3E55" w:rsidR="00A30676" w:rsidRDefault="00917771" w:rsidP="00A30676">
      <w:pPr>
        <w:pStyle w:val="Heading3"/>
      </w:pPr>
      <w:r>
        <w:t xml:space="preserve">6.2 </w:t>
      </w:r>
      <w:r w:rsidR="00A30676">
        <w:t>Econometric Results</w:t>
      </w:r>
    </w:p>
    <w:p w14:paraId="67617CAD" w14:textId="41A7BEA1" w:rsidR="00A30676" w:rsidRDefault="00A30676" w:rsidP="00A30676">
      <w:r>
        <w:t xml:space="preserve">Before presenting the TFP results based on econometric efficiency assessment, the actual results of the </w:t>
      </w:r>
      <w:r w:rsidR="00166D9C">
        <w:t xml:space="preserve">production function/frontier estimations used to derive the </w:t>
      </w:r>
      <w:r>
        <w:t xml:space="preserve">COLS and </w:t>
      </w:r>
      <w:r w:rsidR="00917771">
        <w:t>SFA</w:t>
      </w:r>
      <w:r>
        <w:t xml:space="preserve"> </w:t>
      </w:r>
      <w:r w:rsidR="00166D9C">
        <w:t xml:space="preserve">efficiencies </w:t>
      </w:r>
      <w:r>
        <w:t xml:space="preserve">are given in Table </w:t>
      </w:r>
      <w:r w:rsidR="00584FCA">
        <w:t>2</w:t>
      </w:r>
      <w:r>
        <w:t>.</w:t>
      </w:r>
    </w:p>
    <w:p w14:paraId="403160B0" w14:textId="77777777" w:rsidR="00AF27A6" w:rsidRDefault="00AF27A6">
      <w:r>
        <w:br w:type="page"/>
      </w:r>
    </w:p>
    <w:p w14:paraId="542DFE8F" w14:textId="410A0D65" w:rsidR="00584FCA" w:rsidRDefault="00584FCA" w:rsidP="00A30676">
      <w:r>
        <w:t xml:space="preserve">Table 2: Parametric production function/frontier estimates, COLS and </w:t>
      </w:r>
      <w:r w:rsidR="00917771">
        <w:t>SFA</w:t>
      </w:r>
    </w:p>
    <w:tbl>
      <w:tblPr>
        <w:tblW w:w="9060" w:type="dxa"/>
        <w:tblLook w:val="04A0" w:firstRow="1" w:lastRow="0" w:firstColumn="1" w:lastColumn="0" w:noHBand="0" w:noVBand="1"/>
      </w:tblPr>
      <w:tblGrid>
        <w:gridCol w:w="1240"/>
        <w:gridCol w:w="2060"/>
        <w:gridCol w:w="998"/>
        <w:gridCol w:w="960"/>
        <w:gridCol w:w="960"/>
        <w:gridCol w:w="1074"/>
        <w:gridCol w:w="846"/>
        <w:gridCol w:w="1053"/>
      </w:tblGrid>
      <w:tr w:rsidR="00A30676" w:rsidRPr="00C4433D" w14:paraId="1622D51D" w14:textId="77777777" w:rsidTr="003D0E85">
        <w:trPr>
          <w:trHeight w:val="288"/>
        </w:trPr>
        <w:tc>
          <w:tcPr>
            <w:tcW w:w="1240" w:type="dxa"/>
            <w:tcBorders>
              <w:top w:val="single" w:sz="4" w:space="0" w:color="auto"/>
              <w:left w:val="single" w:sz="4" w:space="0" w:color="auto"/>
              <w:bottom w:val="nil"/>
              <w:right w:val="single" w:sz="4" w:space="0" w:color="auto"/>
            </w:tcBorders>
            <w:shd w:val="clear" w:color="auto" w:fill="auto"/>
            <w:noWrap/>
            <w:vAlign w:val="bottom"/>
            <w:hideMark/>
          </w:tcPr>
          <w:p w14:paraId="21F8F36F"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Parameter</w:t>
            </w:r>
          </w:p>
        </w:tc>
        <w:tc>
          <w:tcPr>
            <w:tcW w:w="2060" w:type="dxa"/>
            <w:tcBorders>
              <w:top w:val="single" w:sz="4" w:space="0" w:color="auto"/>
              <w:left w:val="nil"/>
              <w:bottom w:val="nil"/>
              <w:right w:val="single" w:sz="4" w:space="0" w:color="auto"/>
            </w:tcBorders>
            <w:shd w:val="clear" w:color="auto" w:fill="auto"/>
            <w:noWrap/>
            <w:vAlign w:val="bottom"/>
            <w:hideMark/>
          </w:tcPr>
          <w:p w14:paraId="669FA318"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Variable</w:t>
            </w:r>
          </w:p>
        </w:tc>
        <w:tc>
          <w:tcPr>
            <w:tcW w:w="960" w:type="dxa"/>
            <w:tcBorders>
              <w:top w:val="single" w:sz="4" w:space="0" w:color="auto"/>
              <w:left w:val="nil"/>
              <w:bottom w:val="single" w:sz="4" w:space="0" w:color="auto"/>
              <w:right w:val="nil"/>
            </w:tcBorders>
            <w:shd w:val="clear" w:color="auto" w:fill="auto"/>
            <w:noWrap/>
            <w:vAlign w:val="bottom"/>
            <w:hideMark/>
          </w:tcPr>
          <w:p w14:paraId="1540AB49"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COLS</w:t>
            </w:r>
          </w:p>
        </w:tc>
        <w:tc>
          <w:tcPr>
            <w:tcW w:w="960" w:type="dxa"/>
            <w:tcBorders>
              <w:top w:val="single" w:sz="4" w:space="0" w:color="auto"/>
              <w:left w:val="nil"/>
              <w:bottom w:val="single" w:sz="4" w:space="0" w:color="auto"/>
              <w:right w:val="nil"/>
            </w:tcBorders>
            <w:shd w:val="clear" w:color="auto" w:fill="auto"/>
            <w:noWrap/>
            <w:vAlign w:val="bottom"/>
            <w:hideMark/>
          </w:tcPr>
          <w:p w14:paraId="6CF7C1A5"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CCC4A2"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19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05A07810" w14:textId="3BF64977" w:rsidR="00A30676" w:rsidRPr="00C4433D" w:rsidRDefault="00917771" w:rsidP="003D0E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SFA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2A9F01"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r>
      <w:tr w:rsidR="00A30676" w:rsidRPr="00C4433D" w14:paraId="728E7930" w14:textId="77777777" w:rsidTr="003D0E8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5674CD"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2060" w:type="dxa"/>
            <w:tcBorders>
              <w:top w:val="nil"/>
              <w:left w:val="nil"/>
              <w:bottom w:val="nil"/>
              <w:right w:val="nil"/>
            </w:tcBorders>
            <w:shd w:val="clear" w:color="auto" w:fill="auto"/>
            <w:noWrap/>
            <w:vAlign w:val="bottom"/>
            <w:hideMark/>
          </w:tcPr>
          <w:p w14:paraId="7CCBD04F" w14:textId="77777777" w:rsidR="00A30676" w:rsidRPr="00C4433D" w:rsidRDefault="00A30676" w:rsidP="003D0E85">
            <w:pPr>
              <w:spacing w:after="0" w:line="240" w:lineRule="auto"/>
              <w:rPr>
                <w:rFonts w:ascii="Calibri" w:eastAsia="Times New Roman" w:hAnsi="Calibri" w:cs="Calibri"/>
                <w:color w:val="000000"/>
                <w:lang w:eastAsia="en-GB"/>
              </w:rPr>
            </w:pPr>
          </w:p>
        </w:tc>
        <w:tc>
          <w:tcPr>
            <w:tcW w:w="960" w:type="dxa"/>
            <w:tcBorders>
              <w:top w:val="nil"/>
              <w:left w:val="single" w:sz="4" w:space="0" w:color="auto"/>
              <w:bottom w:val="nil"/>
              <w:right w:val="single" w:sz="4" w:space="0" w:color="auto"/>
            </w:tcBorders>
            <w:shd w:val="clear" w:color="auto" w:fill="auto"/>
            <w:noWrap/>
            <w:vAlign w:val="bottom"/>
            <w:hideMark/>
          </w:tcPr>
          <w:p w14:paraId="32035FDC"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Estimate</w:t>
            </w:r>
          </w:p>
        </w:tc>
        <w:tc>
          <w:tcPr>
            <w:tcW w:w="960" w:type="dxa"/>
            <w:tcBorders>
              <w:top w:val="nil"/>
              <w:left w:val="nil"/>
              <w:bottom w:val="nil"/>
              <w:right w:val="single" w:sz="4" w:space="0" w:color="auto"/>
            </w:tcBorders>
            <w:shd w:val="clear" w:color="auto" w:fill="auto"/>
            <w:noWrap/>
            <w:vAlign w:val="bottom"/>
            <w:hideMark/>
          </w:tcPr>
          <w:p w14:paraId="468149D2"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SE</w:t>
            </w:r>
          </w:p>
        </w:tc>
        <w:tc>
          <w:tcPr>
            <w:tcW w:w="960" w:type="dxa"/>
            <w:tcBorders>
              <w:top w:val="nil"/>
              <w:left w:val="nil"/>
              <w:bottom w:val="nil"/>
              <w:right w:val="single" w:sz="4" w:space="0" w:color="auto"/>
            </w:tcBorders>
            <w:shd w:val="clear" w:color="auto" w:fill="auto"/>
            <w:noWrap/>
            <w:vAlign w:val="bottom"/>
            <w:hideMark/>
          </w:tcPr>
          <w:p w14:paraId="68F9E164"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T Value</w:t>
            </w:r>
          </w:p>
        </w:tc>
        <w:tc>
          <w:tcPr>
            <w:tcW w:w="1074" w:type="dxa"/>
            <w:tcBorders>
              <w:top w:val="nil"/>
              <w:left w:val="nil"/>
              <w:bottom w:val="single" w:sz="4" w:space="0" w:color="auto"/>
              <w:right w:val="nil"/>
            </w:tcBorders>
            <w:shd w:val="clear" w:color="auto" w:fill="auto"/>
            <w:noWrap/>
            <w:vAlign w:val="bottom"/>
            <w:hideMark/>
          </w:tcPr>
          <w:p w14:paraId="5548ACF1"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Estimate</w:t>
            </w:r>
          </w:p>
        </w:tc>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01F7DCE"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SE</w:t>
            </w:r>
          </w:p>
        </w:tc>
        <w:tc>
          <w:tcPr>
            <w:tcW w:w="960" w:type="dxa"/>
            <w:tcBorders>
              <w:top w:val="nil"/>
              <w:left w:val="nil"/>
              <w:bottom w:val="single" w:sz="4" w:space="0" w:color="auto"/>
              <w:right w:val="single" w:sz="4" w:space="0" w:color="auto"/>
            </w:tcBorders>
            <w:shd w:val="clear" w:color="auto" w:fill="auto"/>
            <w:noWrap/>
            <w:vAlign w:val="bottom"/>
            <w:hideMark/>
          </w:tcPr>
          <w:p w14:paraId="332A2306"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T Value</w:t>
            </w:r>
          </w:p>
        </w:tc>
      </w:tr>
      <w:tr w:rsidR="00A30676" w:rsidRPr="00C4433D" w14:paraId="4BB73D43" w14:textId="77777777" w:rsidTr="003D0E85">
        <w:trPr>
          <w:trHeight w:val="288"/>
        </w:trPr>
        <w:tc>
          <w:tcPr>
            <w:tcW w:w="1240" w:type="dxa"/>
            <w:tcBorders>
              <w:top w:val="nil"/>
              <w:left w:val="single" w:sz="4" w:space="0" w:color="auto"/>
              <w:bottom w:val="nil"/>
              <w:right w:val="nil"/>
            </w:tcBorders>
            <w:shd w:val="clear" w:color="auto" w:fill="auto"/>
            <w:noWrap/>
            <w:vAlign w:val="bottom"/>
            <w:hideMark/>
          </w:tcPr>
          <w:p w14:paraId="5ECC28BC"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a</w:t>
            </w:r>
          </w:p>
        </w:tc>
        <w:tc>
          <w:tcPr>
            <w:tcW w:w="2060" w:type="dxa"/>
            <w:tcBorders>
              <w:top w:val="single" w:sz="4" w:space="0" w:color="auto"/>
              <w:left w:val="single" w:sz="4" w:space="0" w:color="auto"/>
              <w:bottom w:val="nil"/>
              <w:right w:val="single" w:sz="4" w:space="0" w:color="auto"/>
            </w:tcBorders>
            <w:shd w:val="clear" w:color="auto" w:fill="auto"/>
            <w:noWrap/>
            <w:vAlign w:val="bottom"/>
            <w:hideMark/>
          </w:tcPr>
          <w:p w14:paraId="5943AFB4"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Constant</w:t>
            </w:r>
          </w:p>
        </w:tc>
        <w:tc>
          <w:tcPr>
            <w:tcW w:w="960" w:type="dxa"/>
            <w:tcBorders>
              <w:top w:val="single" w:sz="4" w:space="0" w:color="auto"/>
              <w:left w:val="nil"/>
              <w:bottom w:val="nil"/>
              <w:right w:val="single" w:sz="4" w:space="0" w:color="auto"/>
            </w:tcBorders>
            <w:shd w:val="clear" w:color="auto" w:fill="auto"/>
            <w:noWrap/>
            <w:vAlign w:val="bottom"/>
            <w:hideMark/>
          </w:tcPr>
          <w:p w14:paraId="14B86C74"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-5.0000</w:t>
            </w:r>
          </w:p>
        </w:tc>
        <w:tc>
          <w:tcPr>
            <w:tcW w:w="960" w:type="dxa"/>
            <w:tcBorders>
              <w:top w:val="single" w:sz="4" w:space="0" w:color="auto"/>
              <w:left w:val="nil"/>
              <w:bottom w:val="nil"/>
              <w:right w:val="single" w:sz="4" w:space="0" w:color="auto"/>
            </w:tcBorders>
            <w:shd w:val="clear" w:color="auto" w:fill="auto"/>
            <w:noWrap/>
            <w:vAlign w:val="bottom"/>
            <w:hideMark/>
          </w:tcPr>
          <w:p w14:paraId="02254C60"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0.3901</w:t>
            </w:r>
          </w:p>
        </w:tc>
        <w:tc>
          <w:tcPr>
            <w:tcW w:w="960" w:type="dxa"/>
            <w:tcBorders>
              <w:top w:val="single" w:sz="4" w:space="0" w:color="auto"/>
              <w:left w:val="nil"/>
              <w:bottom w:val="nil"/>
              <w:right w:val="single" w:sz="4" w:space="0" w:color="auto"/>
            </w:tcBorders>
            <w:shd w:val="clear" w:color="auto" w:fill="auto"/>
            <w:noWrap/>
            <w:vAlign w:val="bottom"/>
            <w:hideMark/>
          </w:tcPr>
          <w:p w14:paraId="6BEFB51F"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-12.8170</w:t>
            </w:r>
          </w:p>
        </w:tc>
        <w:tc>
          <w:tcPr>
            <w:tcW w:w="1074" w:type="dxa"/>
            <w:tcBorders>
              <w:top w:val="nil"/>
              <w:left w:val="nil"/>
              <w:bottom w:val="nil"/>
              <w:right w:val="nil"/>
            </w:tcBorders>
            <w:shd w:val="clear" w:color="auto" w:fill="auto"/>
            <w:noWrap/>
            <w:vAlign w:val="bottom"/>
            <w:hideMark/>
          </w:tcPr>
          <w:p w14:paraId="66045395"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-0.3713</w:t>
            </w:r>
          </w:p>
        </w:tc>
        <w:tc>
          <w:tcPr>
            <w:tcW w:w="846" w:type="dxa"/>
            <w:tcBorders>
              <w:top w:val="nil"/>
              <w:left w:val="single" w:sz="4" w:space="0" w:color="auto"/>
              <w:bottom w:val="nil"/>
              <w:right w:val="single" w:sz="4" w:space="0" w:color="auto"/>
            </w:tcBorders>
            <w:shd w:val="clear" w:color="auto" w:fill="auto"/>
            <w:noWrap/>
            <w:vAlign w:val="bottom"/>
            <w:hideMark/>
          </w:tcPr>
          <w:p w14:paraId="4F076C7F"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0.6998</w:t>
            </w:r>
          </w:p>
        </w:tc>
        <w:tc>
          <w:tcPr>
            <w:tcW w:w="960" w:type="dxa"/>
            <w:tcBorders>
              <w:top w:val="nil"/>
              <w:left w:val="nil"/>
              <w:bottom w:val="nil"/>
              <w:right w:val="single" w:sz="4" w:space="0" w:color="auto"/>
            </w:tcBorders>
            <w:shd w:val="clear" w:color="auto" w:fill="auto"/>
            <w:noWrap/>
            <w:vAlign w:val="bottom"/>
            <w:hideMark/>
          </w:tcPr>
          <w:p w14:paraId="6ADA1728"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-0.5310</w:t>
            </w:r>
          </w:p>
        </w:tc>
      </w:tr>
      <w:tr w:rsidR="00A30676" w:rsidRPr="00C4433D" w14:paraId="661A269D" w14:textId="77777777" w:rsidTr="003D0E85">
        <w:trPr>
          <w:trHeight w:val="312"/>
        </w:trPr>
        <w:tc>
          <w:tcPr>
            <w:tcW w:w="1240" w:type="dxa"/>
            <w:tcBorders>
              <w:top w:val="nil"/>
              <w:left w:val="single" w:sz="4" w:space="0" w:color="auto"/>
              <w:bottom w:val="nil"/>
              <w:right w:val="nil"/>
            </w:tcBorders>
            <w:shd w:val="clear" w:color="auto" w:fill="auto"/>
            <w:noWrap/>
            <w:vAlign w:val="bottom"/>
            <w:hideMark/>
          </w:tcPr>
          <w:p w14:paraId="4FB60430"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b</w:t>
            </w:r>
            <w:r w:rsidRPr="00C4433D">
              <w:rPr>
                <w:rFonts w:ascii="Calibri" w:eastAsia="Times New Roman" w:hAnsi="Calibri" w:cs="Calibri"/>
                <w:color w:val="000000"/>
                <w:vertAlign w:val="subscript"/>
                <w:lang w:eastAsia="en-GB"/>
              </w:rPr>
              <w:t>L</w:t>
            </w:r>
          </w:p>
        </w:tc>
        <w:tc>
          <w:tcPr>
            <w:tcW w:w="2060" w:type="dxa"/>
            <w:tcBorders>
              <w:top w:val="nil"/>
              <w:left w:val="single" w:sz="4" w:space="0" w:color="auto"/>
              <w:bottom w:val="nil"/>
              <w:right w:val="single" w:sz="4" w:space="0" w:color="auto"/>
            </w:tcBorders>
            <w:shd w:val="clear" w:color="auto" w:fill="auto"/>
            <w:noWrap/>
            <w:vAlign w:val="bottom"/>
            <w:hideMark/>
          </w:tcPr>
          <w:p w14:paraId="14CB7EE8"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Labour</w:t>
            </w:r>
          </w:p>
        </w:tc>
        <w:tc>
          <w:tcPr>
            <w:tcW w:w="960" w:type="dxa"/>
            <w:tcBorders>
              <w:top w:val="nil"/>
              <w:left w:val="nil"/>
              <w:bottom w:val="nil"/>
              <w:right w:val="single" w:sz="4" w:space="0" w:color="auto"/>
            </w:tcBorders>
            <w:shd w:val="clear" w:color="auto" w:fill="auto"/>
            <w:noWrap/>
            <w:vAlign w:val="bottom"/>
            <w:hideMark/>
          </w:tcPr>
          <w:p w14:paraId="5DD0391C"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1.6262</w:t>
            </w:r>
          </w:p>
        </w:tc>
        <w:tc>
          <w:tcPr>
            <w:tcW w:w="960" w:type="dxa"/>
            <w:tcBorders>
              <w:top w:val="nil"/>
              <w:left w:val="nil"/>
              <w:bottom w:val="nil"/>
              <w:right w:val="single" w:sz="4" w:space="0" w:color="auto"/>
            </w:tcBorders>
            <w:shd w:val="clear" w:color="auto" w:fill="auto"/>
            <w:noWrap/>
            <w:vAlign w:val="bottom"/>
            <w:hideMark/>
          </w:tcPr>
          <w:p w14:paraId="182BD52B"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0.3407</w:t>
            </w:r>
          </w:p>
        </w:tc>
        <w:tc>
          <w:tcPr>
            <w:tcW w:w="960" w:type="dxa"/>
            <w:tcBorders>
              <w:top w:val="nil"/>
              <w:left w:val="nil"/>
              <w:bottom w:val="nil"/>
              <w:right w:val="single" w:sz="4" w:space="0" w:color="auto"/>
            </w:tcBorders>
            <w:shd w:val="clear" w:color="auto" w:fill="auto"/>
            <w:noWrap/>
            <w:vAlign w:val="bottom"/>
            <w:hideMark/>
          </w:tcPr>
          <w:p w14:paraId="649D9EF9"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4.7740</w:t>
            </w:r>
          </w:p>
        </w:tc>
        <w:tc>
          <w:tcPr>
            <w:tcW w:w="1074" w:type="dxa"/>
            <w:tcBorders>
              <w:top w:val="nil"/>
              <w:left w:val="nil"/>
              <w:bottom w:val="nil"/>
              <w:right w:val="nil"/>
            </w:tcBorders>
            <w:shd w:val="clear" w:color="auto" w:fill="auto"/>
            <w:noWrap/>
            <w:vAlign w:val="bottom"/>
            <w:hideMark/>
          </w:tcPr>
          <w:p w14:paraId="0DE893D2"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2.7693</w:t>
            </w:r>
          </w:p>
        </w:tc>
        <w:tc>
          <w:tcPr>
            <w:tcW w:w="846" w:type="dxa"/>
            <w:tcBorders>
              <w:top w:val="nil"/>
              <w:left w:val="single" w:sz="4" w:space="0" w:color="auto"/>
              <w:bottom w:val="nil"/>
              <w:right w:val="single" w:sz="4" w:space="0" w:color="auto"/>
            </w:tcBorders>
            <w:shd w:val="clear" w:color="auto" w:fill="auto"/>
            <w:noWrap/>
            <w:vAlign w:val="bottom"/>
            <w:hideMark/>
          </w:tcPr>
          <w:p w14:paraId="2E7B9F34"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0.5758</w:t>
            </w:r>
          </w:p>
        </w:tc>
        <w:tc>
          <w:tcPr>
            <w:tcW w:w="960" w:type="dxa"/>
            <w:tcBorders>
              <w:top w:val="nil"/>
              <w:left w:val="nil"/>
              <w:bottom w:val="nil"/>
              <w:right w:val="single" w:sz="4" w:space="0" w:color="auto"/>
            </w:tcBorders>
            <w:shd w:val="clear" w:color="auto" w:fill="auto"/>
            <w:noWrap/>
            <w:vAlign w:val="bottom"/>
            <w:hideMark/>
          </w:tcPr>
          <w:p w14:paraId="57976568"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4.8090</w:t>
            </w:r>
          </w:p>
        </w:tc>
      </w:tr>
      <w:tr w:rsidR="00A30676" w:rsidRPr="00C4433D" w14:paraId="06039059" w14:textId="77777777" w:rsidTr="003D0E85">
        <w:trPr>
          <w:trHeight w:val="312"/>
        </w:trPr>
        <w:tc>
          <w:tcPr>
            <w:tcW w:w="1240" w:type="dxa"/>
            <w:tcBorders>
              <w:top w:val="nil"/>
              <w:left w:val="single" w:sz="4" w:space="0" w:color="auto"/>
              <w:bottom w:val="nil"/>
              <w:right w:val="nil"/>
            </w:tcBorders>
            <w:shd w:val="clear" w:color="auto" w:fill="auto"/>
            <w:noWrap/>
            <w:vAlign w:val="bottom"/>
            <w:hideMark/>
          </w:tcPr>
          <w:p w14:paraId="14483B17"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b</w:t>
            </w:r>
            <w:r w:rsidRPr="00C4433D">
              <w:rPr>
                <w:rFonts w:ascii="Calibri" w:eastAsia="Times New Roman" w:hAnsi="Calibri" w:cs="Calibri"/>
                <w:color w:val="000000"/>
                <w:vertAlign w:val="subscript"/>
                <w:lang w:eastAsia="en-GB"/>
              </w:rPr>
              <w:t>R</w:t>
            </w:r>
          </w:p>
        </w:tc>
        <w:tc>
          <w:tcPr>
            <w:tcW w:w="2060" w:type="dxa"/>
            <w:tcBorders>
              <w:top w:val="nil"/>
              <w:left w:val="single" w:sz="4" w:space="0" w:color="auto"/>
              <w:bottom w:val="nil"/>
              <w:right w:val="single" w:sz="4" w:space="0" w:color="auto"/>
            </w:tcBorders>
            <w:shd w:val="clear" w:color="auto" w:fill="auto"/>
            <w:noWrap/>
            <w:vAlign w:val="bottom"/>
            <w:hideMark/>
          </w:tcPr>
          <w:p w14:paraId="320FA3F8"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Rolling Stock</w:t>
            </w:r>
          </w:p>
        </w:tc>
        <w:tc>
          <w:tcPr>
            <w:tcW w:w="960" w:type="dxa"/>
            <w:tcBorders>
              <w:top w:val="nil"/>
              <w:left w:val="nil"/>
              <w:bottom w:val="nil"/>
              <w:right w:val="single" w:sz="4" w:space="0" w:color="auto"/>
            </w:tcBorders>
            <w:shd w:val="clear" w:color="auto" w:fill="auto"/>
            <w:noWrap/>
            <w:vAlign w:val="bottom"/>
            <w:hideMark/>
          </w:tcPr>
          <w:p w14:paraId="1D1226EE"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-0.7131</w:t>
            </w:r>
          </w:p>
        </w:tc>
        <w:tc>
          <w:tcPr>
            <w:tcW w:w="960" w:type="dxa"/>
            <w:tcBorders>
              <w:top w:val="nil"/>
              <w:left w:val="nil"/>
              <w:bottom w:val="nil"/>
              <w:right w:val="single" w:sz="4" w:space="0" w:color="auto"/>
            </w:tcBorders>
            <w:shd w:val="clear" w:color="auto" w:fill="auto"/>
            <w:noWrap/>
            <w:vAlign w:val="bottom"/>
            <w:hideMark/>
          </w:tcPr>
          <w:p w14:paraId="5C6C3706"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0.2494</w:t>
            </w:r>
          </w:p>
        </w:tc>
        <w:tc>
          <w:tcPr>
            <w:tcW w:w="960" w:type="dxa"/>
            <w:tcBorders>
              <w:top w:val="nil"/>
              <w:left w:val="nil"/>
              <w:bottom w:val="nil"/>
              <w:right w:val="single" w:sz="4" w:space="0" w:color="auto"/>
            </w:tcBorders>
            <w:shd w:val="clear" w:color="auto" w:fill="auto"/>
            <w:noWrap/>
            <w:vAlign w:val="bottom"/>
            <w:hideMark/>
          </w:tcPr>
          <w:p w14:paraId="3E87D4B8"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-2.8590</w:t>
            </w:r>
          </w:p>
        </w:tc>
        <w:tc>
          <w:tcPr>
            <w:tcW w:w="1074" w:type="dxa"/>
            <w:tcBorders>
              <w:top w:val="nil"/>
              <w:left w:val="nil"/>
              <w:bottom w:val="nil"/>
              <w:right w:val="nil"/>
            </w:tcBorders>
            <w:shd w:val="clear" w:color="auto" w:fill="auto"/>
            <w:noWrap/>
            <w:vAlign w:val="bottom"/>
            <w:hideMark/>
          </w:tcPr>
          <w:p w14:paraId="7BF87420"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0.1312</w:t>
            </w:r>
          </w:p>
        </w:tc>
        <w:tc>
          <w:tcPr>
            <w:tcW w:w="846" w:type="dxa"/>
            <w:tcBorders>
              <w:top w:val="nil"/>
              <w:left w:val="single" w:sz="4" w:space="0" w:color="auto"/>
              <w:bottom w:val="nil"/>
              <w:right w:val="single" w:sz="4" w:space="0" w:color="auto"/>
            </w:tcBorders>
            <w:shd w:val="clear" w:color="auto" w:fill="auto"/>
            <w:noWrap/>
            <w:vAlign w:val="bottom"/>
            <w:hideMark/>
          </w:tcPr>
          <w:p w14:paraId="058BF54D"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0.4465</w:t>
            </w:r>
          </w:p>
        </w:tc>
        <w:tc>
          <w:tcPr>
            <w:tcW w:w="960" w:type="dxa"/>
            <w:tcBorders>
              <w:top w:val="nil"/>
              <w:left w:val="nil"/>
              <w:bottom w:val="nil"/>
              <w:right w:val="single" w:sz="4" w:space="0" w:color="auto"/>
            </w:tcBorders>
            <w:shd w:val="clear" w:color="auto" w:fill="auto"/>
            <w:noWrap/>
            <w:vAlign w:val="bottom"/>
            <w:hideMark/>
          </w:tcPr>
          <w:p w14:paraId="654E403F"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0.2940</w:t>
            </w:r>
          </w:p>
        </w:tc>
      </w:tr>
      <w:tr w:rsidR="00A30676" w:rsidRPr="00C4433D" w14:paraId="251D4906" w14:textId="77777777" w:rsidTr="003D0E85">
        <w:trPr>
          <w:trHeight w:val="312"/>
        </w:trPr>
        <w:tc>
          <w:tcPr>
            <w:tcW w:w="1240" w:type="dxa"/>
            <w:tcBorders>
              <w:top w:val="nil"/>
              <w:left w:val="single" w:sz="4" w:space="0" w:color="auto"/>
              <w:bottom w:val="nil"/>
              <w:right w:val="nil"/>
            </w:tcBorders>
            <w:shd w:val="clear" w:color="auto" w:fill="auto"/>
            <w:noWrap/>
            <w:vAlign w:val="bottom"/>
            <w:hideMark/>
          </w:tcPr>
          <w:p w14:paraId="51C5698B"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b</w:t>
            </w:r>
            <w:r w:rsidRPr="00C4433D">
              <w:rPr>
                <w:rFonts w:ascii="Calibri" w:eastAsia="Times New Roman" w:hAnsi="Calibri" w:cs="Calibri"/>
                <w:color w:val="000000"/>
                <w:vertAlign w:val="subscript"/>
                <w:lang w:eastAsia="en-GB"/>
              </w:rPr>
              <w:t>N</w:t>
            </w:r>
          </w:p>
        </w:tc>
        <w:tc>
          <w:tcPr>
            <w:tcW w:w="2060" w:type="dxa"/>
            <w:tcBorders>
              <w:top w:val="nil"/>
              <w:left w:val="single" w:sz="4" w:space="0" w:color="auto"/>
              <w:bottom w:val="nil"/>
              <w:right w:val="single" w:sz="4" w:space="0" w:color="auto"/>
            </w:tcBorders>
            <w:shd w:val="clear" w:color="auto" w:fill="auto"/>
            <w:noWrap/>
            <w:vAlign w:val="bottom"/>
            <w:hideMark/>
          </w:tcPr>
          <w:p w14:paraId="1D6ED0B7"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Line</w:t>
            </w:r>
          </w:p>
        </w:tc>
        <w:tc>
          <w:tcPr>
            <w:tcW w:w="960" w:type="dxa"/>
            <w:tcBorders>
              <w:top w:val="nil"/>
              <w:left w:val="nil"/>
              <w:bottom w:val="nil"/>
              <w:right w:val="single" w:sz="4" w:space="0" w:color="auto"/>
            </w:tcBorders>
            <w:shd w:val="clear" w:color="auto" w:fill="auto"/>
            <w:noWrap/>
            <w:vAlign w:val="bottom"/>
            <w:hideMark/>
          </w:tcPr>
          <w:p w14:paraId="3F49C071"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0.0869</w:t>
            </w:r>
          </w:p>
        </w:tc>
        <w:tc>
          <w:tcPr>
            <w:tcW w:w="960" w:type="dxa"/>
            <w:tcBorders>
              <w:top w:val="nil"/>
              <w:left w:val="nil"/>
              <w:bottom w:val="nil"/>
              <w:right w:val="single" w:sz="4" w:space="0" w:color="auto"/>
            </w:tcBorders>
            <w:shd w:val="clear" w:color="auto" w:fill="auto"/>
            <w:noWrap/>
            <w:vAlign w:val="bottom"/>
            <w:hideMark/>
          </w:tcPr>
          <w:p w14:paraId="0B687F3A"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0.1576</w:t>
            </w:r>
          </w:p>
        </w:tc>
        <w:tc>
          <w:tcPr>
            <w:tcW w:w="960" w:type="dxa"/>
            <w:tcBorders>
              <w:top w:val="nil"/>
              <w:left w:val="nil"/>
              <w:bottom w:val="nil"/>
              <w:right w:val="single" w:sz="4" w:space="0" w:color="auto"/>
            </w:tcBorders>
            <w:shd w:val="clear" w:color="auto" w:fill="auto"/>
            <w:noWrap/>
            <w:vAlign w:val="bottom"/>
            <w:hideMark/>
          </w:tcPr>
          <w:p w14:paraId="42E5952F"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0.5510</w:t>
            </w:r>
          </w:p>
        </w:tc>
        <w:tc>
          <w:tcPr>
            <w:tcW w:w="1074" w:type="dxa"/>
            <w:tcBorders>
              <w:top w:val="nil"/>
              <w:left w:val="nil"/>
              <w:bottom w:val="nil"/>
              <w:right w:val="nil"/>
            </w:tcBorders>
            <w:shd w:val="clear" w:color="auto" w:fill="auto"/>
            <w:noWrap/>
            <w:vAlign w:val="bottom"/>
            <w:hideMark/>
          </w:tcPr>
          <w:p w14:paraId="7C98FFFE"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-1.9005</w:t>
            </w:r>
          </w:p>
        </w:tc>
        <w:tc>
          <w:tcPr>
            <w:tcW w:w="846" w:type="dxa"/>
            <w:tcBorders>
              <w:top w:val="nil"/>
              <w:left w:val="single" w:sz="4" w:space="0" w:color="auto"/>
              <w:bottom w:val="nil"/>
              <w:right w:val="single" w:sz="4" w:space="0" w:color="auto"/>
            </w:tcBorders>
            <w:shd w:val="clear" w:color="auto" w:fill="auto"/>
            <w:noWrap/>
            <w:vAlign w:val="bottom"/>
            <w:hideMark/>
          </w:tcPr>
          <w:p w14:paraId="14A19DE6"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14:paraId="17334651"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r>
      <w:tr w:rsidR="00A30676" w:rsidRPr="00C4433D" w14:paraId="74B80F9D" w14:textId="77777777" w:rsidTr="003D0E85">
        <w:trPr>
          <w:trHeight w:val="312"/>
        </w:trPr>
        <w:tc>
          <w:tcPr>
            <w:tcW w:w="1240" w:type="dxa"/>
            <w:tcBorders>
              <w:top w:val="nil"/>
              <w:left w:val="single" w:sz="4" w:space="0" w:color="auto"/>
              <w:bottom w:val="nil"/>
              <w:right w:val="nil"/>
            </w:tcBorders>
            <w:shd w:val="clear" w:color="auto" w:fill="auto"/>
            <w:noWrap/>
            <w:vAlign w:val="bottom"/>
            <w:hideMark/>
          </w:tcPr>
          <w:p w14:paraId="6F873C79"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c</w:t>
            </w:r>
            <w:r w:rsidRPr="00C4433D">
              <w:rPr>
                <w:rFonts w:ascii="Calibri" w:eastAsia="Times New Roman" w:hAnsi="Calibri" w:cs="Calibri"/>
                <w:color w:val="000000"/>
                <w:vertAlign w:val="subscript"/>
                <w:lang w:eastAsia="en-GB"/>
              </w:rPr>
              <w:t>LL</w:t>
            </w:r>
          </w:p>
        </w:tc>
        <w:tc>
          <w:tcPr>
            <w:tcW w:w="2060" w:type="dxa"/>
            <w:tcBorders>
              <w:top w:val="nil"/>
              <w:left w:val="single" w:sz="4" w:space="0" w:color="auto"/>
              <w:bottom w:val="nil"/>
              <w:right w:val="single" w:sz="4" w:space="0" w:color="auto"/>
            </w:tcBorders>
            <w:shd w:val="clear" w:color="auto" w:fill="auto"/>
            <w:noWrap/>
            <w:vAlign w:val="bottom"/>
            <w:hideMark/>
          </w:tcPr>
          <w:p w14:paraId="3227F13C"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Labour Squared</w:t>
            </w:r>
          </w:p>
        </w:tc>
        <w:tc>
          <w:tcPr>
            <w:tcW w:w="960" w:type="dxa"/>
            <w:tcBorders>
              <w:top w:val="nil"/>
              <w:left w:val="nil"/>
              <w:bottom w:val="nil"/>
              <w:right w:val="single" w:sz="4" w:space="0" w:color="auto"/>
            </w:tcBorders>
            <w:shd w:val="clear" w:color="auto" w:fill="auto"/>
            <w:noWrap/>
            <w:vAlign w:val="bottom"/>
            <w:hideMark/>
          </w:tcPr>
          <w:p w14:paraId="415E4744"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-0.0611</w:t>
            </w:r>
          </w:p>
        </w:tc>
        <w:tc>
          <w:tcPr>
            <w:tcW w:w="960" w:type="dxa"/>
            <w:tcBorders>
              <w:top w:val="nil"/>
              <w:left w:val="nil"/>
              <w:bottom w:val="nil"/>
              <w:right w:val="single" w:sz="4" w:space="0" w:color="auto"/>
            </w:tcBorders>
            <w:shd w:val="clear" w:color="auto" w:fill="auto"/>
            <w:noWrap/>
            <w:vAlign w:val="bottom"/>
            <w:hideMark/>
          </w:tcPr>
          <w:p w14:paraId="58E0C595"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0.0364</w:t>
            </w:r>
          </w:p>
        </w:tc>
        <w:tc>
          <w:tcPr>
            <w:tcW w:w="960" w:type="dxa"/>
            <w:tcBorders>
              <w:top w:val="nil"/>
              <w:left w:val="nil"/>
              <w:bottom w:val="nil"/>
              <w:right w:val="single" w:sz="4" w:space="0" w:color="auto"/>
            </w:tcBorders>
            <w:shd w:val="clear" w:color="auto" w:fill="auto"/>
            <w:noWrap/>
            <w:vAlign w:val="bottom"/>
            <w:hideMark/>
          </w:tcPr>
          <w:p w14:paraId="4208C2B7"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-1.6800</w:t>
            </w:r>
          </w:p>
        </w:tc>
        <w:tc>
          <w:tcPr>
            <w:tcW w:w="1074" w:type="dxa"/>
            <w:tcBorders>
              <w:top w:val="nil"/>
              <w:left w:val="nil"/>
              <w:bottom w:val="nil"/>
              <w:right w:val="nil"/>
            </w:tcBorders>
            <w:shd w:val="clear" w:color="auto" w:fill="auto"/>
            <w:noWrap/>
            <w:vAlign w:val="bottom"/>
            <w:hideMark/>
          </w:tcPr>
          <w:p w14:paraId="6522BB4C"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-1.1560</w:t>
            </w:r>
          </w:p>
        </w:tc>
        <w:tc>
          <w:tcPr>
            <w:tcW w:w="846" w:type="dxa"/>
            <w:tcBorders>
              <w:top w:val="nil"/>
              <w:left w:val="single" w:sz="4" w:space="0" w:color="auto"/>
              <w:bottom w:val="nil"/>
              <w:right w:val="single" w:sz="4" w:space="0" w:color="auto"/>
            </w:tcBorders>
            <w:shd w:val="clear" w:color="auto" w:fill="auto"/>
            <w:noWrap/>
            <w:vAlign w:val="bottom"/>
            <w:hideMark/>
          </w:tcPr>
          <w:p w14:paraId="00784421"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0.2438</w:t>
            </w:r>
          </w:p>
        </w:tc>
        <w:tc>
          <w:tcPr>
            <w:tcW w:w="960" w:type="dxa"/>
            <w:tcBorders>
              <w:top w:val="nil"/>
              <w:left w:val="nil"/>
              <w:bottom w:val="nil"/>
              <w:right w:val="single" w:sz="4" w:space="0" w:color="auto"/>
            </w:tcBorders>
            <w:shd w:val="clear" w:color="auto" w:fill="auto"/>
            <w:noWrap/>
            <w:vAlign w:val="bottom"/>
            <w:hideMark/>
          </w:tcPr>
          <w:p w14:paraId="20DA6096"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-4.7420</w:t>
            </w:r>
          </w:p>
        </w:tc>
      </w:tr>
      <w:tr w:rsidR="00A30676" w:rsidRPr="00C4433D" w14:paraId="61B76D50" w14:textId="77777777" w:rsidTr="003D0E85">
        <w:trPr>
          <w:trHeight w:val="312"/>
        </w:trPr>
        <w:tc>
          <w:tcPr>
            <w:tcW w:w="1240" w:type="dxa"/>
            <w:tcBorders>
              <w:top w:val="nil"/>
              <w:left w:val="single" w:sz="4" w:space="0" w:color="auto"/>
              <w:bottom w:val="nil"/>
              <w:right w:val="nil"/>
            </w:tcBorders>
            <w:shd w:val="clear" w:color="auto" w:fill="auto"/>
            <w:noWrap/>
            <w:vAlign w:val="bottom"/>
            <w:hideMark/>
          </w:tcPr>
          <w:p w14:paraId="543BFD6C"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c</w:t>
            </w:r>
            <w:r w:rsidRPr="00C4433D">
              <w:rPr>
                <w:rFonts w:ascii="Calibri" w:eastAsia="Times New Roman" w:hAnsi="Calibri" w:cs="Calibri"/>
                <w:color w:val="000000"/>
                <w:vertAlign w:val="subscript"/>
                <w:lang w:eastAsia="en-GB"/>
              </w:rPr>
              <w:t>RR</w:t>
            </w:r>
          </w:p>
        </w:tc>
        <w:tc>
          <w:tcPr>
            <w:tcW w:w="2060" w:type="dxa"/>
            <w:tcBorders>
              <w:top w:val="nil"/>
              <w:left w:val="single" w:sz="4" w:space="0" w:color="auto"/>
              <w:bottom w:val="nil"/>
              <w:right w:val="single" w:sz="4" w:space="0" w:color="auto"/>
            </w:tcBorders>
            <w:shd w:val="clear" w:color="auto" w:fill="auto"/>
            <w:noWrap/>
            <w:vAlign w:val="bottom"/>
            <w:hideMark/>
          </w:tcPr>
          <w:p w14:paraId="1C75F260"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TRS Squared</w:t>
            </w:r>
          </w:p>
        </w:tc>
        <w:tc>
          <w:tcPr>
            <w:tcW w:w="960" w:type="dxa"/>
            <w:tcBorders>
              <w:top w:val="nil"/>
              <w:left w:val="nil"/>
              <w:bottom w:val="nil"/>
              <w:right w:val="single" w:sz="4" w:space="0" w:color="auto"/>
            </w:tcBorders>
            <w:shd w:val="clear" w:color="auto" w:fill="auto"/>
            <w:noWrap/>
            <w:vAlign w:val="bottom"/>
            <w:hideMark/>
          </w:tcPr>
          <w:p w14:paraId="73E0140E"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-0.5455</w:t>
            </w:r>
          </w:p>
        </w:tc>
        <w:tc>
          <w:tcPr>
            <w:tcW w:w="960" w:type="dxa"/>
            <w:tcBorders>
              <w:top w:val="nil"/>
              <w:left w:val="nil"/>
              <w:bottom w:val="nil"/>
              <w:right w:val="single" w:sz="4" w:space="0" w:color="auto"/>
            </w:tcBorders>
            <w:shd w:val="clear" w:color="auto" w:fill="auto"/>
            <w:noWrap/>
            <w:vAlign w:val="bottom"/>
            <w:hideMark/>
          </w:tcPr>
          <w:p w14:paraId="766E4C5A"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0.1547</w:t>
            </w:r>
          </w:p>
        </w:tc>
        <w:tc>
          <w:tcPr>
            <w:tcW w:w="960" w:type="dxa"/>
            <w:tcBorders>
              <w:top w:val="nil"/>
              <w:left w:val="nil"/>
              <w:bottom w:val="nil"/>
              <w:right w:val="single" w:sz="4" w:space="0" w:color="auto"/>
            </w:tcBorders>
            <w:shd w:val="clear" w:color="auto" w:fill="auto"/>
            <w:noWrap/>
            <w:vAlign w:val="bottom"/>
            <w:hideMark/>
          </w:tcPr>
          <w:p w14:paraId="00740EDD"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-3.5270</w:t>
            </w:r>
          </w:p>
        </w:tc>
        <w:tc>
          <w:tcPr>
            <w:tcW w:w="1074" w:type="dxa"/>
            <w:tcBorders>
              <w:top w:val="nil"/>
              <w:left w:val="nil"/>
              <w:bottom w:val="nil"/>
              <w:right w:val="nil"/>
            </w:tcBorders>
            <w:shd w:val="clear" w:color="auto" w:fill="auto"/>
            <w:noWrap/>
            <w:vAlign w:val="bottom"/>
            <w:hideMark/>
          </w:tcPr>
          <w:p w14:paraId="7F6AD2A1"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0.2611</w:t>
            </w:r>
          </w:p>
        </w:tc>
        <w:tc>
          <w:tcPr>
            <w:tcW w:w="846" w:type="dxa"/>
            <w:tcBorders>
              <w:top w:val="nil"/>
              <w:left w:val="single" w:sz="4" w:space="0" w:color="auto"/>
              <w:bottom w:val="nil"/>
              <w:right w:val="single" w:sz="4" w:space="0" w:color="auto"/>
            </w:tcBorders>
            <w:shd w:val="clear" w:color="auto" w:fill="auto"/>
            <w:noWrap/>
            <w:vAlign w:val="bottom"/>
            <w:hideMark/>
          </w:tcPr>
          <w:p w14:paraId="401F59FC"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0.1415</w:t>
            </w:r>
          </w:p>
        </w:tc>
        <w:tc>
          <w:tcPr>
            <w:tcW w:w="960" w:type="dxa"/>
            <w:tcBorders>
              <w:top w:val="nil"/>
              <w:left w:val="nil"/>
              <w:bottom w:val="nil"/>
              <w:right w:val="single" w:sz="4" w:space="0" w:color="auto"/>
            </w:tcBorders>
            <w:shd w:val="clear" w:color="auto" w:fill="auto"/>
            <w:noWrap/>
            <w:vAlign w:val="bottom"/>
            <w:hideMark/>
          </w:tcPr>
          <w:p w14:paraId="0DCBE25B"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1.8460</w:t>
            </w:r>
          </w:p>
        </w:tc>
      </w:tr>
      <w:tr w:rsidR="00A30676" w:rsidRPr="00C4433D" w14:paraId="07394722" w14:textId="77777777" w:rsidTr="003D0E85">
        <w:trPr>
          <w:trHeight w:val="312"/>
        </w:trPr>
        <w:tc>
          <w:tcPr>
            <w:tcW w:w="1240" w:type="dxa"/>
            <w:tcBorders>
              <w:top w:val="nil"/>
              <w:left w:val="single" w:sz="4" w:space="0" w:color="auto"/>
              <w:bottom w:val="nil"/>
              <w:right w:val="nil"/>
            </w:tcBorders>
            <w:shd w:val="clear" w:color="auto" w:fill="auto"/>
            <w:noWrap/>
            <w:vAlign w:val="bottom"/>
            <w:hideMark/>
          </w:tcPr>
          <w:p w14:paraId="54E96F00"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c</w:t>
            </w:r>
            <w:r w:rsidRPr="00C4433D">
              <w:rPr>
                <w:rFonts w:ascii="Calibri" w:eastAsia="Times New Roman" w:hAnsi="Calibri" w:cs="Calibri"/>
                <w:color w:val="000000"/>
                <w:vertAlign w:val="subscript"/>
                <w:lang w:eastAsia="en-GB"/>
              </w:rPr>
              <w:t>NN</w:t>
            </w:r>
          </w:p>
        </w:tc>
        <w:tc>
          <w:tcPr>
            <w:tcW w:w="2060" w:type="dxa"/>
            <w:tcBorders>
              <w:top w:val="nil"/>
              <w:left w:val="single" w:sz="4" w:space="0" w:color="auto"/>
              <w:bottom w:val="nil"/>
              <w:right w:val="single" w:sz="4" w:space="0" w:color="auto"/>
            </w:tcBorders>
            <w:shd w:val="clear" w:color="auto" w:fill="auto"/>
            <w:noWrap/>
            <w:vAlign w:val="bottom"/>
            <w:hideMark/>
          </w:tcPr>
          <w:p w14:paraId="1A544425"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Line Squared</w:t>
            </w:r>
          </w:p>
        </w:tc>
        <w:tc>
          <w:tcPr>
            <w:tcW w:w="960" w:type="dxa"/>
            <w:tcBorders>
              <w:top w:val="nil"/>
              <w:left w:val="nil"/>
              <w:bottom w:val="nil"/>
              <w:right w:val="single" w:sz="4" w:space="0" w:color="auto"/>
            </w:tcBorders>
            <w:shd w:val="clear" w:color="auto" w:fill="auto"/>
            <w:noWrap/>
            <w:vAlign w:val="bottom"/>
            <w:hideMark/>
          </w:tcPr>
          <w:p w14:paraId="2DC6FD8F"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-0.3741</w:t>
            </w:r>
          </w:p>
        </w:tc>
        <w:tc>
          <w:tcPr>
            <w:tcW w:w="960" w:type="dxa"/>
            <w:tcBorders>
              <w:top w:val="nil"/>
              <w:left w:val="nil"/>
              <w:bottom w:val="nil"/>
              <w:right w:val="single" w:sz="4" w:space="0" w:color="auto"/>
            </w:tcBorders>
            <w:shd w:val="clear" w:color="auto" w:fill="auto"/>
            <w:noWrap/>
            <w:vAlign w:val="bottom"/>
            <w:hideMark/>
          </w:tcPr>
          <w:p w14:paraId="45FA20AE"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0.0814</w:t>
            </w:r>
          </w:p>
        </w:tc>
        <w:tc>
          <w:tcPr>
            <w:tcW w:w="960" w:type="dxa"/>
            <w:tcBorders>
              <w:top w:val="nil"/>
              <w:left w:val="nil"/>
              <w:bottom w:val="nil"/>
              <w:right w:val="single" w:sz="4" w:space="0" w:color="auto"/>
            </w:tcBorders>
            <w:shd w:val="clear" w:color="auto" w:fill="auto"/>
            <w:noWrap/>
            <w:vAlign w:val="bottom"/>
            <w:hideMark/>
          </w:tcPr>
          <w:p w14:paraId="27C482DD"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-4.5960</w:t>
            </w:r>
          </w:p>
        </w:tc>
        <w:tc>
          <w:tcPr>
            <w:tcW w:w="1074" w:type="dxa"/>
            <w:tcBorders>
              <w:top w:val="nil"/>
              <w:left w:val="nil"/>
              <w:bottom w:val="nil"/>
              <w:right w:val="nil"/>
            </w:tcBorders>
            <w:shd w:val="clear" w:color="auto" w:fill="auto"/>
            <w:noWrap/>
            <w:vAlign w:val="bottom"/>
            <w:hideMark/>
          </w:tcPr>
          <w:p w14:paraId="38DD0EFC"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0.0014</w:t>
            </w:r>
          </w:p>
        </w:tc>
        <w:tc>
          <w:tcPr>
            <w:tcW w:w="846" w:type="dxa"/>
            <w:tcBorders>
              <w:top w:val="nil"/>
              <w:left w:val="single" w:sz="4" w:space="0" w:color="auto"/>
              <w:bottom w:val="nil"/>
              <w:right w:val="single" w:sz="4" w:space="0" w:color="auto"/>
            </w:tcBorders>
            <w:shd w:val="clear" w:color="auto" w:fill="auto"/>
            <w:noWrap/>
            <w:vAlign w:val="bottom"/>
            <w:hideMark/>
          </w:tcPr>
          <w:p w14:paraId="1394A3F4"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14:paraId="48628947"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r>
      <w:tr w:rsidR="00A30676" w:rsidRPr="00C4433D" w14:paraId="7995FA75" w14:textId="77777777" w:rsidTr="003D0E85">
        <w:trPr>
          <w:trHeight w:val="312"/>
        </w:trPr>
        <w:tc>
          <w:tcPr>
            <w:tcW w:w="1240" w:type="dxa"/>
            <w:tcBorders>
              <w:top w:val="nil"/>
              <w:left w:val="single" w:sz="4" w:space="0" w:color="auto"/>
              <w:bottom w:val="nil"/>
              <w:right w:val="nil"/>
            </w:tcBorders>
            <w:shd w:val="clear" w:color="auto" w:fill="auto"/>
            <w:noWrap/>
            <w:vAlign w:val="bottom"/>
            <w:hideMark/>
          </w:tcPr>
          <w:p w14:paraId="3B6A8AC4"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c</w:t>
            </w:r>
            <w:r w:rsidRPr="00C4433D">
              <w:rPr>
                <w:rFonts w:ascii="Calibri" w:eastAsia="Times New Roman" w:hAnsi="Calibri" w:cs="Calibri"/>
                <w:color w:val="000000"/>
                <w:vertAlign w:val="subscript"/>
                <w:lang w:eastAsia="en-GB"/>
              </w:rPr>
              <w:t>LR</w:t>
            </w:r>
          </w:p>
        </w:tc>
        <w:tc>
          <w:tcPr>
            <w:tcW w:w="2060" w:type="dxa"/>
            <w:tcBorders>
              <w:top w:val="nil"/>
              <w:left w:val="single" w:sz="4" w:space="0" w:color="auto"/>
              <w:bottom w:val="nil"/>
              <w:right w:val="single" w:sz="4" w:space="0" w:color="auto"/>
            </w:tcBorders>
            <w:shd w:val="clear" w:color="auto" w:fill="auto"/>
            <w:noWrap/>
            <w:vAlign w:val="bottom"/>
            <w:hideMark/>
          </w:tcPr>
          <w:p w14:paraId="015A4983"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Labour/TRS</w:t>
            </w:r>
          </w:p>
        </w:tc>
        <w:tc>
          <w:tcPr>
            <w:tcW w:w="960" w:type="dxa"/>
            <w:tcBorders>
              <w:top w:val="nil"/>
              <w:left w:val="nil"/>
              <w:bottom w:val="nil"/>
              <w:right w:val="single" w:sz="4" w:space="0" w:color="auto"/>
            </w:tcBorders>
            <w:shd w:val="clear" w:color="auto" w:fill="auto"/>
            <w:noWrap/>
            <w:vAlign w:val="bottom"/>
            <w:hideMark/>
          </w:tcPr>
          <w:p w14:paraId="7FC2E4ED"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-0.1198</w:t>
            </w:r>
          </w:p>
        </w:tc>
        <w:tc>
          <w:tcPr>
            <w:tcW w:w="960" w:type="dxa"/>
            <w:tcBorders>
              <w:top w:val="nil"/>
              <w:left w:val="nil"/>
              <w:bottom w:val="nil"/>
              <w:right w:val="single" w:sz="4" w:space="0" w:color="auto"/>
            </w:tcBorders>
            <w:shd w:val="clear" w:color="auto" w:fill="auto"/>
            <w:noWrap/>
            <w:vAlign w:val="bottom"/>
            <w:hideMark/>
          </w:tcPr>
          <w:p w14:paraId="72D55D18"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0.0422</w:t>
            </w:r>
          </w:p>
        </w:tc>
        <w:tc>
          <w:tcPr>
            <w:tcW w:w="960" w:type="dxa"/>
            <w:tcBorders>
              <w:top w:val="nil"/>
              <w:left w:val="nil"/>
              <w:bottom w:val="nil"/>
              <w:right w:val="single" w:sz="4" w:space="0" w:color="auto"/>
            </w:tcBorders>
            <w:shd w:val="clear" w:color="auto" w:fill="auto"/>
            <w:noWrap/>
            <w:vAlign w:val="bottom"/>
            <w:hideMark/>
          </w:tcPr>
          <w:p w14:paraId="7E6156FA"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-2.8350</w:t>
            </w:r>
          </w:p>
        </w:tc>
        <w:tc>
          <w:tcPr>
            <w:tcW w:w="1074" w:type="dxa"/>
            <w:tcBorders>
              <w:top w:val="nil"/>
              <w:left w:val="nil"/>
              <w:bottom w:val="nil"/>
              <w:right w:val="nil"/>
            </w:tcBorders>
            <w:shd w:val="clear" w:color="auto" w:fill="auto"/>
            <w:noWrap/>
            <w:vAlign w:val="bottom"/>
            <w:hideMark/>
          </w:tcPr>
          <w:p w14:paraId="7752BF5C"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0.4468</w:t>
            </w:r>
          </w:p>
        </w:tc>
        <w:tc>
          <w:tcPr>
            <w:tcW w:w="846" w:type="dxa"/>
            <w:tcBorders>
              <w:top w:val="nil"/>
              <w:left w:val="single" w:sz="4" w:space="0" w:color="auto"/>
              <w:bottom w:val="nil"/>
              <w:right w:val="single" w:sz="4" w:space="0" w:color="auto"/>
            </w:tcBorders>
            <w:shd w:val="clear" w:color="auto" w:fill="auto"/>
            <w:noWrap/>
            <w:vAlign w:val="bottom"/>
            <w:hideMark/>
          </w:tcPr>
          <w:p w14:paraId="3C842714"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0.1733</w:t>
            </w:r>
          </w:p>
        </w:tc>
        <w:tc>
          <w:tcPr>
            <w:tcW w:w="960" w:type="dxa"/>
            <w:tcBorders>
              <w:top w:val="nil"/>
              <w:left w:val="nil"/>
              <w:bottom w:val="nil"/>
              <w:right w:val="single" w:sz="4" w:space="0" w:color="auto"/>
            </w:tcBorders>
            <w:shd w:val="clear" w:color="auto" w:fill="auto"/>
            <w:noWrap/>
            <w:vAlign w:val="bottom"/>
            <w:hideMark/>
          </w:tcPr>
          <w:p w14:paraId="34DC1171"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2.5780</w:t>
            </w:r>
          </w:p>
        </w:tc>
      </w:tr>
      <w:tr w:rsidR="00A30676" w:rsidRPr="00C4433D" w14:paraId="2116592E" w14:textId="77777777" w:rsidTr="003D0E85">
        <w:trPr>
          <w:trHeight w:val="312"/>
        </w:trPr>
        <w:tc>
          <w:tcPr>
            <w:tcW w:w="1240" w:type="dxa"/>
            <w:tcBorders>
              <w:top w:val="nil"/>
              <w:left w:val="single" w:sz="4" w:space="0" w:color="auto"/>
              <w:bottom w:val="nil"/>
              <w:right w:val="nil"/>
            </w:tcBorders>
            <w:shd w:val="clear" w:color="auto" w:fill="auto"/>
            <w:noWrap/>
            <w:vAlign w:val="bottom"/>
            <w:hideMark/>
          </w:tcPr>
          <w:p w14:paraId="09B6559D"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c</w:t>
            </w:r>
            <w:r w:rsidRPr="00C4433D">
              <w:rPr>
                <w:rFonts w:ascii="Calibri" w:eastAsia="Times New Roman" w:hAnsi="Calibri" w:cs="Calibri"/>
                <w:color w:val="000000"/>
                <w:vertAlign w:val="subscript"/>
                <w:lang w:eastAsia="en-GB"/>
              </w:rPr>
              <w:t>LN</w:t>
            </w:r>
          </w:p>
        </w:tc>
        <w:tc>
          <w:tcPr>
            <w:tcW w:w="2060" w:type="dxa"/>
            <w:tcBorders>
              <w:top w:val="nil"/>
              <w:left w:val="single" w:sz="4" w:space="0" w:color="auto"/>
              <w:bottom w:val="nil"/>
              <w:right w:val="single" w:sz="4" w:space="0" w:color="auto"/>
            </w:tcBorders>
            <w:shd w:val="clear" w:color="auto" w:fill="auto"/>
            <w:noWrap/>
            <w:vAlign w:val="bottom"/>
            <w:hideMark/>
          </w:tcPr>
          <w:p w14:paraId="32FF2C4C"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Labour/Line</w:t>
            </w:r>
          </w:p>
        </w:tc>
        <w:tc>
          <w:tcPr>
            <w:tcW w:w="960" w:type="dxa"/>
            <w:tcBorders>
              <w:top w:val="nil"/>
              <w:left w:val="nil"/>
              <w:bottom w:val="nil"/>
              <w:right w:val="single" w:sz="4" w:space="0" w:color="auto"/>
            </w:tcBorders>
            <w:shd w:val="clear" w:color="auto" w:fill="auto"/>
            <w:noWrap/>
            <w:vAlign w:val="bottom"/>
            <w:hideMark/>
          </w:tcPr>
          <w:p w14:paraId="0253254C"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-0.0064</w:t>
            </w:r>
          </w:p>
        </w:tc>
        <w:tc>
          <w:tcPr>
            <w:tcW w:w="960" w:type="dxa"/>
            <w:tcBorders>
              <w:top w:val="nil"/>
              <w:left w:val="nil"/>
              <w:bottom w:val="nil"/>
              <w:right w:val="single" w:sz="4" w:space="0" w:color="auto"/>
            </w:tcBorders>
            <w:shd w:val="clear" w:color="auto" w:fill="auto"/>
            <w:noWrap/>
            <w:vAlign w:val="bottom"/>
            <w:hideMark/>
          </w:tcPr>
          <w:p w14:paraId="4ACA853D"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0.0048</w:t>
            </w:r>
          </w:p>
        </w:tc>
        <w:tc>
          <w:tcPr>
            <w:tcW w:w="960" w:type="dxa"/>
            <w:tcBorders>
              <w:top w:val="nil"/>
              <w:left w:val="nil"/>
              <w:bottom w:val="nil"/>
              <w:right w:val="single" w:sz="4" w:space="0" w:color="auto"/>
            </w:tcBorders>
            <w:shd w:val="clear" w:color="auto" w:fill="auto"/>
            <w:noWrap/>
            <w:vAlign w:val="bottom"/>
            <w:hideMark/>
          </w:tcPr>
          <w:p w14:paraId="56664A94"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-1.3150</w:t>
            </w:r>
          </w:p>
        </w:tc>
        <w:tc>
          <w:tcPr>
            <w:tcW w:w="1074" w:type="dxa"/>
            <w:tcBorders>
              <w:top w:val="nil"/>
              <w:left w:val="nil"/>
              <w:bottom w:val="nil"/>
              <w:right w:val="nil"/>
            </w:tcBorders>
            <w:shd w:val="clear" w:color="auto" w:fill="auto"/>
            <w:noWrap/>
            <w:vAlign w:val="bottom"/>
            <w:hideMark/>
          </w:tcPr>
          <w:p w14:paraId="2D48034E"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0.7093</w:t>
            </w:r>
          </w:p>
        </w:tc>
        <w:tc>
          <w:tcPr>
            <w:tcW w:w="846" w:type="dxa"/>
            <w:tcBorders>
              <w:top w:val="nil"/>
              <w:left w:val="single" w:sz="4" w:space="0" w:color="auto"/>
              <w:bottom w:val="nil"/>
              <w:right w:val="single" w:sz="4" w:space="0" w:color="auto"/>
            </w:tcBorders>
            <w:shd w:val="clear" w:color="auto" w:fill="auto"/>
            <w:noWrap/>
            <w:vAlign w:val="bottom"/>
            <w:hideMark/>
          </w:tcPr>
          <w:p w14:paraId="3EB3A49F"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14:paraId="0CBF4713"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r>
      <w:tr w:rsidR="00A30676" w:rsidRPr="00C4433D" w14:paraId="57CFD2CE" w14:textId="77777777" w:rsidTr="003D0E85">
        <w:trPr>
          <w:trHeight w:val="312"/>
        </w:trPr>
        <w:tc>
          <w:tcPr>
            <w:tcW w:w="1240" w:type="dxa"/>
            <w:tcBorders>
              <w:top w:val="nil"/>
              <w:left w:val="single" w:sz="4" w:space="0" w:color="auto"/>
              <w:bottom w:val="nil"/>
              <w:right w:val="nil"/>
            </w:tcBorders>
            <w:shd w:val="clear" w:color="auto" w:fill="auto"/>
            <w:noWrap/>
            <w:vAlign w:val="bottom"/>
            <w:hideMark/>
          </w:tcPr>
          <w:p w14:paraId="7167F2CE"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c</w:t>
            </w:r>
            <w:r w:rsidRPr="00C4433D">
              <w:rPr>
                <w:rFonts w:ascii="Calibri" w:eastAsia="Times New Roman" w:hAnsi="Calibri" w:cs="Calibri"/>
                <w:color w:val="000000"/>
                <w:vertAlign w:val="subscript"/>
                <w:lang w:eastAsia="en-GB"/>
              </w:rPr>
              <w:t>RN</w:t>
            </w:r>
          </w:p>
        </w:tc>
        <w:tc>
          <w:tcPr>
            <w:tcW w:w="2060" w:type="dxa"/>
            <w:tcBorders>
              <w:top w:val="nil"/>
              <w:left w:val="single" w:sz="4" w:space="0" w:color="auto"/>
              <w:bottom w:val="nil"/>
              <w:right w:val="single" w:sz="4" w:space="0" w:color="auto"/>
            </w:tcBorders>
            <w:shd w:val="clear" w:color="auto" w:fill="auto"/>
            <w:noWrap/>
            <w:vAlign w:val="bottom"/>
            <w:hideMark/>
          </w:tcPr>
          <w:p w14:paraId="3BDAB269"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TRS/Line</w:t>
            </w:r>
          </w:p>
        </w:tc>
        <w:tc>
          <w:tcPr>
            <w:tcW w:w="960" w:type="dxa"/>
            <w:tcBorders>
              <w:top w:val="nil"/>
              <w:left w:val="nil"/>
              <w:bottom w:val="nil"/>
              <w:right w:val="single" w:sz="4" w:space="0" w:color="auto"/>
            </w:tcBorders>
            <w:shd w:val="clear" w:color="auto" w:fill="auto"/>
            <w:noWrap/>
            <w:vAlign w:val="bottom"/>
            <w:hideMark/>
          </w:tcPr>
          <w:p w14:paraId="4FFB3D6F"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0.3999</w:t>
            </w:r>
          </w:p>
        </w:tc>
        <w:tc>
          <w:tcPr>
            <w:tcW w:w="960" w:type="dxa"/>
            <w:tcBorders>
              <w:top w:val="nil"/>
              <w:left w:val="nil"/>
              <w:bottom w:val="nil"/>
              <w:right w:val="single" w:sz="4" w:space="0" w:color="auto"/>
            </w:tcBorders>
            <w:shd w:val="clear" w:color="auto" w:fill="auto"/>
            <w:noWrap/>
            <w:vAlign w:val="bottom"/>
            <w:hideMark/>
          </w:tcPr>
          <w:p w14:paraId="7470BC9D"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0.1081</w:t>
            </w:r>
          </w:p>
        </w:tc>
        <w:tc>
          <w:tcPr>
            <w:tcW w:w="960" w:type="dxa"/>
            <w:tcBorders>
              <w:top w:val="nil"/>
              <w:left w:val="nil"/>
              <w:bottom w:val="nil"/>
              <w:right w:val="single" w:sz="4" w:space="0" w:color="auto"/>
            </w:tcBorders>
            <w:shd w:val="clear" w:color="auto" w:fill="auto"/>
            <w:noWrap/>
            <w:vAlign w:val="bottom"/>
            <w:hideMark/>
          </w:tcPr>
          <w:p w14:paraId="2400C574"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3.6990</w:t>
            </w:r>
          </w:p>
        </w:tc>
        <w:tc>
          <w:tcPr>
            <w:tcW w:w="1074" w:type="dxa"/>
            <w:tcBorders>
              <w:top w:val="nil"/>
              <w:left w:val="nil"/>
              <w:bottom w:val="nil"/>
              <w:right w:val="nil"/>
            </w:tcBorders>
            <w:shd w:val="clear" w:color="auto" w:fill="auto"/>
            <w:noWrap/>
            <w:vAlign w:val="bottom"/>
            <w:hideMark/>
          </w:tcPr>
          <w:p w14:paraId="4CA3B4B4"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-0.7079</w:t>
            </w:r>
          </w:p>
        </w:tc>
        <w:tc>
          <w:tcPr>
            <w:tcW w:w="846" w:type="dxa"/>
            <w:tcBorders>
              <w:top w:val="nil"/>
              <w:left w:val="single" w:sz="4" w:space="0" w:color="auto"/>
              <w:bottom w:val="nil"/>
              <w:right w:val="single" w:sz="4" w:space="0" w:color="auto"/>
            </w:tcBorders>
            <w:shd w:val="clear" w:color="auto" w:fill="auto"/>
            <w:noWrap/>
            <w:vAlign w:val="bottom"/>
            <w:hideMark/>
          </w:tcPr>
          <w:p w14:paraId="3F5834C2"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14:paraId="35ECC860"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r>
      <w:tr w:rsidR="00A30676" w:rsidRPr="00C4433D" w14:paraId="2056C469" w14:textId="77777777" w:rsidTr="003D0E85">
        <w:trPr>
          <w:trHeight w:val="312"/>
        </w:trPr>
        <w:tc>
          <w:tcPr>
            <w:tcW w:w="1240" w:type="dxa"/>
            <w:tcBorders>
              <w:top w:val="nil"/>
              <w:left w:val="single" w:sz="4" w:space="0" w:color="auto"/>
              <w:bottom w:val="nil"/>
              <w:right w:val="nil"/>
            </w:tcBorders>
            <w:shd w:val="clear" w:color="auto" w:fill="auto"/>
            <w:noWrap/>
            <w:vAlign w:val="bottom"/>
            <w:hideMark/>
          </w:tcPr>
          <w:p w14:paraId="5AD7110F"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g</w:t>
            </w:r>
            <w:r w:rsidRPr="00C4433D">
              <w:rPr>
                <w:rFonts w:ascii="Calibri" w:eastAsia="Times New Roman" w:hAnsi="Calibri" w:cs="Calibri"/>
                <w:color w:val="000000"/>
                <w:vertAlign w:val="subscript"/>
                <w:lang w:eastAsia="en-GB"/>
              </w:rPr>
              <w:t>T</w:t>
            </w:r>
          </w:p>
        </w:tc>
        <w:tc>
          <w:tcPr>
            <w:tcW w:w="2060" w:type="dxa"/>
            <w:tcBorders>
              <w:top w:val="nil"/>
              <w:left w:val="single" w:sz="4" w:space="0" w:color="auto"/>
              <w:bottom w:val="nil"/>
              <w:right w:val="single" w:sz="4" w:space="0" w:color="auto"/>
            </w:tcBorders>
            <w:shd w:val="clear" w:color="auto" w:fill="auto"/>
            <w:noWrap/>
            <w:vAlign w:val="bottom"/>
            <w:hideMark/>
          </w:tcPr>
          <w:p w14:paraId="07B65FB1"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Time</w:t>
            </w:r>
          </w:p>
        </w:tc>
        <w:tc>
          <w:tcPr>
            <w:tcW w:w="960" w:type="dxa"/>
            <w:tcBorders>
              <w:top w:val="nil"/>
              <w:left w:val="nil"/>
              <w:bottom w:val="nil"/>
              <w:right w:val="single" w:sz="4" w:space="0" w:color="auto"/>
            </w:tcBorders>
            <w:shd w:val="clear" w:color="auto" w:fill="auto"/>
            <w:noWrap/>
            <w:vAlign w:val="bottom"/>
            <w:hideMark/>
          </w:tcPr>
          <w:p w14:paraId="7A81CAB6"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0.1456</w:t>
            </w:r>
          </w:p>
        </w:tc>
        <w:tc>
          <w:tcPr>
            <w:tcW w:w="960" w:type="dxa"/>
            <w:tcBorders>
              <w:top w:val="nil"/>
              <w:left w:val="nil"/>
              <w:bottom w:val="nil"/>
              <w:right w:val="single" w:sz="4" w:space="0" w:color="auto"/>
            </w:tcBorders>
            <w:shd w:val="clear" w:color="auto" w:fill="auto"/>
            <w:noWrap/>
            <w:vAlign w:val="bottom"/>
            <w:hideMark/>
          </w:tcPr>
          <w:p w14:paraId="604A97E9"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0.0619</w:t>
            </w:r>
          </w:p>
        </w:tc>
        <w:tc>
          <w:tcPr>
            <w:tcW w:w="960" w:type="dxa"/>
            <w:tcBorders>
              <w:top w:val="nil"/>
              <w:left w:val="nil"/>
              <w:bottom w:val="nil"/>
              <w:right w:val="single" w:sz="4" w:space="0" w:color="auto"/>
            </w:tcBorders>
            <w:shd w:val="clear" w:color="auto" w:fill="auto"/>
            <w:noWrap/>
            <w:vAlign w:val="bottom"/>
            <w:hideMark/>
          </w:tcPr>
          <w:p w14:paraId="28B29FC9"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2.3530</w:t>
            </w:r>
          </w:p>
        </w:tc>
        <w:tc>
          <w:tcPr>
            <w:tcW w:w="1074" w:type="dxa"/>
            <w:tcBorders>
              <w:top w:val="nil"/>
              <w:left w:val="nil"/>
              <w:bottom w:val="nil"/>
              <w:right w:val="nil"/>
            </w:tcBorders>
            <w:shd w:val="clear" w:color="auto" w:fill="auto"/>
            <w:noWrap/>
            <w:vAlign w:val="bottom"/>
            <w:hideMark/>
          </w:tcPr>
          <w:p w14:paraId="67A8A933"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-0.0174</w:t>
            </w:r>
          </w:p>
        </w:tc>
        <w:tc>
          <w:tcPr>
            <w:tcW w:w="846" w:type="dxa"/>
            <w:tcBorders>
              <w:top w:val="nil"/>
              <w:left w:val="single" w:sz="4" w:space="0" w:color="auto"/>
              <w:bottom w:val="nil"/>
              <w:right w:val="single" w:sz="4" w:space="0" w:color="auto"/>
            </w:tcBorders>
            <w:shd w:val="clear" w:color="auto" w:fill="auto"/>
            <w:noWrap/>
            <w:vAlign w:val="bottom"/>
            <w:hideMark/>
          </w:tcPr>
          <w:p w14:paraId="4C6FF8CC"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0.0178</w:t>
            </w:r>
          </w:p>
        </w:tc>
        <w:tc>
          <w:tcPr>
            <w:tcW w:w="960" w:type="dxa"/>
            <w:tcBorders>
              <w:top w:val="nil"/>
              <w:left w:val="nil"/>
              <w:bottom w:val="nil"/>
              <w:right w:val="single" w:sz="4" w:space="0" w:color="auto"/>
            </w:tcBorders>
            <w:shd w:val="clear" w:color="auto" w:fill="auto"/>
            <w:noWrap/>
            <w:vAlign w:val="bottom"/>
            <w:hideMark/>
          </w:tcPr>
          <w:p w14:paraId="7EA879D4"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-0.9780</w:t>
            </w:r>
          </w:p>
        </w:tc>
      </w:tr>
      <w:tr w:rsidR="00A30676" w:rsidRPr="00C4433D" w14:paraId="3E920879" w14:textId="77777777" w:rsidTr="003D0E85">
        <w:trPr>
          <w:trHeight w:val="312"/>
        </w:trPr>
        <w:tc>
          <w:tcPr>
            <w:tcW w:w="1240" w:type="dxa"/>
            <w:tcBorders>
              <w:top w:val="nil"/>
              <w:left w:val="single" w:sz="4" w:space="0" w:color="auto"/>
              <w:bottom w:val="nil"/>
              <w:right w:val="nil"/>
            </w:tcBorders>
            <w:shd w:val="clear" w:color="auto" w:fill="auto"/>
            <w:noWrap/>
            <w:vAlign w:val="bottom"/>
            <w:hideMark/>
          </w:tcPr>
          <w:p w14:paraId="3BB9B681"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g</w:t>
            </w:r>
            <w:r w:rsidRPr="00C4433D">
              <w:rPr>
                <w:rFonts w:ascii="Calibri" w:eastAsia="Times New Roman" w:hAnsi="Calibri" w:cs="Calibri"/>
                <w:color w:val="000000"/>
                <w:vertAlign w:val="subscript"/>
                <w:lang w:eastAsia="en-GB"/>
              </w:rPr>
              <w:t>TT</w:t>
            </w:r>
          </w:p>
        </w:tc>
        <w:tc>
          <w:tcPr>
            <w:tcW w:w="2060" w:type="dxa"/>
            <w:tcBorders>
              <w:top w:val="nil"/>
              <w:left w:val="single" w:sz="4" w:space="0" w:color="auto"/>
              <w:bottom w:val="nil"/>
              <w:right w:val="single" w:sz="4" w:space="0" w:color="auto"/>
            </w:tcBorders>
            <w:shd w:val="clear" w:color="auto" w:fill="auto"/>
            <w:noWrap/>
            <w:vAlign w:val="bottom"/>
            <w:hideMark/>
          </w:tcPr>
          <w:p w14:paraId="5E9B3BD8"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Time squared</w:t>
            </w:r>
          </w:p>
        </w:tc>
        <w:tc>
          <w:tcPr>
            <w:tcW w:w="960" w:type="dxa"/>
            <w:tcBorders>
              <w:top w:val="nil"/>
              <w:left w:val="nil"/>
              <w:bottom w:val="nil"/>
              <w:right w:val="single" w:sz="4" w:space="0" w:color="auto"/>
            </w:tcBorders>
            <w:shd w:val="clear" w:color="auto" w:fill="auto"/>
            <w:noWrap/>
            <w:vAlign w:val="bottom"/>
            <w:hideMark/>
          </w:tcPr>
          <w:p w14:paraId="0453A42A"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-0.0258</w:t>
            </w:r>
          </w:p>
        </w:tc>
        <w:tc>
          <w:tcPr>
            <w:tcW w:w="960" w:type="dxa"/>
            <w:tcBorders>
              <w:top w:val="nil"/>
              <w:left w:val="nil"/>
              <w:bottom w:val="nil"/>
              <w:right w:val="single" w:sz="4" w:space="0" w:color="auto"/>
            </w:tcBorders>
            <w:shd w:val="clear" w:color="auto" w:fill="auto"/>
            <w:noWrap/>
            <w:vAlign w:val="bottom"/>
            <w:hideMark/>
          </w:tcPr>
          <w:p w14:paraId="17CD98CE"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0.0608</w:t>
            </w:r>
          </w:p>
        </w:tc>
        <w:tc>
          <w:tcPr>
            <w:tcW w:w="960" w:type="dxa"/>
            <w:tcBorders>
              <w:top w:val="nil"/>
              <w:left w:val="nil"/>
              <w:bottom w:val="nil"/>
              <w:right w:val="single" w:sz="4" w:space="0" w:color="auto"/>
            </w:tcBorders>
            <w:shd w:val="clear" w:color="auto" w:fill="auto"/>
            <w:noWrap/>
            <w:vAlign w:val="bottom"/>
            <w:hideMark/>
          </w:tcPr>
          <w:p w14:paraId="456BDD7E"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-0.4240</w:t>
            </w:r>
          </w:p>
        </w:tc>
        <w:tc>
          <w:tcPr>
            <w:tcW w:w="1074" w:type="dxa"/>
            <w:tcBorders>
              <w:top w:val="nil"/>
              <w:left w:val="nil"/>
              <w:bottom w:val="nil"/>
              <w:right w:val="nil"/>
            </w:tcBorders>
            <w:shd w:val="clear" w:color="auto" w:fill="auto"/>
            <w:noWrap/>
            <w:vAlign w:val="bottom"/>
            <w:hideMark/>
          </w:tcPr>
          <w:p w14:paraId="561D0FA0"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0.0014</w:t>
            </w:r>
          </w:p>
        </w:tc>
        <w:tc>
          <w:tcPr>
            <w:tcW w:w="846" w:type="dxa"/>
            <w:tcBorders>
              <w:top w:val="nil"/>
              <w:left w:val="single" w:sz="4" w:space="0" w:color="auto"/>
              <w:bottom w:val="nil"/>
              <w:right w:val="single" w:sz="4" w:space="0" w:color="auto"/>
            </w:tcBorders>
            <w:shd w:val="clear" w:color="auto" w:fill="auto"/>
            <w:noWrap/>
            <w:vAlign w:val="bottom"/>
            <w:hideMark/>
          </w:tcPr>
          <w:p w14:paraId="33ED59B2"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0.0013</w:t>
            </w:r>
          </w:p>
        </w:tc>
        <w:tc>
          <w:tcPr>
            <w:tcW w:w="960" w:type="dxa"/>
            <w:tcBorders>
              <w:top w:val="nil"/>
              <w:left w:val="nil"/>
              <w:bottom w:val="nil"/>
              <w:right w:val="single" w:sz="4" w:space="0" w:color="auto"/>
            </w:tcBorders>
            <w:shd w:val="clear" w:color="auto" w:fill="auto"/>
            <w:noWrap/>
            <w:vAlign w:val="bottom"/>
            <w:hideMark/>
          </w:tcPr>
          <w:p w14:paraId="3396E312"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1.0940</w:t>
            </w:r>
          </w:p>
        </w:tc>
      </w:tr>
      <w:tr w:rsidR="00A30676" w:rsidRPr="00C4433D" w14:paraId="415183C6" w14:textId="77777777" w:rsidTr="003D0E85">
        <w:trPr>
          <w:trHeight w:val="312"/>
        </w:trPr>
        <w:tc>
          <w:tcPr>
            <w:tcW w:w="1240" w:type="dxa"/>
            <w:tcBorders>
              <w:top w:val="nil"/>
              <w:left w:val="single" w:sz="4" w:space="0" w:color="auto"/>
              <w:bottom w:val="nil"/>
              <w:right w:val="nil"/>
            </w:tcBorders>
            <w:shd w:val="clear" w:color="auto" w:fill="auto"/>
            <w:noWrap/>
            <w:vAlign w:val="bottom"/>
            <w:hideMark/>
          </w:tcPr>
          <w:p w14:paraId="035BE91F"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h</w:t>
            </w:r>
            <w:r w:rsidRPr="00C4433D">
              <w:rPr>
                <w:rFonts w:ascii="Calibri" w:eastAsia="Times New Roman" w:hAnsi="Calibri" w:cs="Calibri"/>
                <w:color w:val="000000"/>
                <w:vertAlign w:val="subscript"/>
                <w:lang w:eastAsia="en-GB"/>
              </w:rPr>
              <w:t>TL</w:t>
            </w:r>
          </w:p>
        </w:tc>
        <w:tc>
          <w:tcPr>
            <w:tcW w:w="2060" w:type="dxa"/>
            <w:tcBorders>
              <w:top w:val="nil"/>
              <w:left w:val="single" w:sz="4" w:space="0" w:color="auto"/>
              <w:bottom w:val="nil"/>
              <w:right w:val="single" w:sz="4" w:space="0" w:color="auto"/>
            </w:tcBorders>
            <w:shd w:val="clear" w:color="auto" w:fill="auto"/>
            <w:noWrap/>
            <w:vAlign w:val="bottom"/>
            <w:hideMark/>
          </w:tcPr>
          <w:p w14:paraId="780AF199"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Time/Labour</w:t>
            </w:r>
          </w:p>
        </w:tc>
        <w:tc>
          <w:tcPr>
            <w:tcW w:w="960" w:type="dxa"/>
            <w:tcBorders>
              <w:top w:val="nil"/>
              <w:left w:val="nil"/>
              <w:bottom w:val="nil"/>
              <w:right w:val="single" w:sz="4" w:space="0" w:color="auto"/>
            </w:tcBorders>
            <w:shd w:val="clear" w:color="auto" w:fill="auto"/>
            <w:noWrap/>
            <w:vAlign w:val="bottom"/>
            <w:hideMark/>
          </w:tcPr>
          <w:p w14:paraId="56E36248"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0.0393</w:t>
            </w:r>
          </w:p>
        </w:tc>
        <w:tc>
          <w:tcPr>
            <w:tcW w:w="960" w:type="dxa"/>
            <w:tcBorders>
              <w:top w:val="nil"/>
              <w:left w:val="nil"/>
              <w:bottom w:val="nil"/>
              <w:right w:val="single" w:sz="4" w:space="0" w:color="auto"/>
            </w:tcBorders>
            <w:shd w:val="clear" w:color="auto" w:fill="auto"/>
            <w:noWrap/>
            <w:vAlign w:val="bottom"/>
            <w:hideMark/>
          </w:tcPr>
          <w:p w14:paraId="6C3E4CFB"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0.0145</w:t>
            </w:r>
          </w:p>
        </w:tc>
        <w:tc>
          <w:tcPr>
            <w:tcW w:w="960" w:type="dxa"/>
            <w:tcBorders>
              <w:top w:val="nil"/>
              <w:left w:val="nil"/>
              <w:bottom w:val="nil"/>
              <w:right w:val="single" w:sz="4" w:space="0" w:color="auto"/>
            </w:tcBorders>
            <w:shd w:val="clear" w:color="auto" w:fill="auto"/>
            <w:noWrap/>
            <w:vAlign w:val="bottom"/>
            <w:hideMark/>
          </w:tcPr>
          <w:p w14:paraId="2D1C1772"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2.7140</w:t>
            </w:r>
          </w:p>
        </w:tc>
        <w:tc>
          <w:tcPr>
            <w:tcW w:w="1074" w:type="dxa"/>
            <w:tcBorders>
              <w:top w:val="nil"/>
              <w:left w:val="nil"/>
              <w:bottom w:val="nil"/>
              <w:right w:val="nil"/>
            </w:tcBorders>
            <w:shd w:val="clear" w:color="auto" w:fill="auto"/>
            <w:noWrap/>
            <w:vAlign w:val="bottom"/>
            <w:hideMark/>
          </w:tcPr>
          <w:p w14:paraId="29BC375F"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0.0074</w:t>
            </w:r>
          </w:p>
        </w:tc>
        <w:tc>
          <w:tcPr>
            <w:tcW w:w="846" w:type="dxa"/>
            <w:tcBorders>
              <w:top w:val="nil"/>
              <w:left w:val="single" w:sz="4" w:space="0" w:color="auto"/>
              <w:bottom w:val="nil"/>
              <w:right w:val="single" w:sz="4" w:space="0" w:color="auto"/>
            </w:tcBorders>
            <w:shd w:val="clear" w:color="auto" w:fill="auto"/>
            <w:noWrap/>
            <w:vAlign w:val="bottom"/>
            <w:hideMark/>
          </w:tcPr>
          <w:p w14:paraId="34A511E0"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0.0074</w:t>
            </w:r>
          </w:p>
        </w:tc>
        <w:tc>
          <w:tcPr>
            <w:tcW w:w="960" w:type="dxa"/>
            <w:tcBorders>
              <w:top w:val="nil"/>
              <w:left w:val="nil"/>
              <w:bottom w:val="nil"/>
              <w:right w:val="single" w:sz="4" w:space="0" w:color="auto"/>
            </w:tcBorders>
            <w:shd w:val="clear" w:color="auto" w:fill="auto"/>
            <w:noWrap/>
            <w:vAlign w:val="bottom"/>
            <w:hideMark/>
          </w:tcPr>
          <w:p w14:paraId="3BAB9A76"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0.9990</w:t>
            </w:r>
          </w:p>
        </w:tc>
      </w:tr>
      <w:tr w:rsidR="00A30676" w:rsidRPr="00C4433D" w14:paraId="465DF72A" w14:textId="77777777" w:rsidTr="003D0E85">
        <w:trPr>
          <w:trHeight w:val="312"/>
        </w:trPr>
        <w:tc>
          <w:tcPr>
            <w:tcW w:w="1240" w:type="dxa"/>
            <w:tcBorders>
              <w:top w:val="nil"/>
              <w:left w:val="single" w:sz="4" w:space="0" w:color="auto"/>
              <w:bottom w:val="nil"/>
              <w:right w:val="nil"/>
            </w:tcBorders>
            <w:shd w:val="clear" w:color="auto" w:fill="auto"/>
            <w:noWrap/>
            <w:vAlign w:val="bottom"/>
            <w:hideMark/>
          </w:tcPr>
          <w:p w14:paraId="6F3913C6"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h</w:t>
            </w:r>
            <w:r w:rsidRPr="00C4433D">
              <w:rPr>
                <w:rFonts w:ascii="Calibri" w:eastAsia="Times New Roman" w:hAnsi="Calibri" w:cs="Calibri"/>
                <w:color w:val="000000"/>
                <w:vertAlign w:val="subscript"/>
                <w:lang w:eastAsia="en-GB"/>
              </w:rPr>
              <w:t>TL</w:t>
            </w:r>
          </w:p>
        </w:tc>
        <w:tc>
          <w:tcPr>
            <w:tcW w:w="2060" w:type="dxa"/>
            <w:tcBorders>
              <w:top w:val="nil"/>
              <w:left w:val="single" w:sz="4" w:space="0" w:color="auto"/>
              <w:bottom w:val="nil"/>
              <w:right w:val="single" w:sz="4" w:space="0" w:color="auto"/>
            </w:tcBorders>
            <w:shd w:val="clear" w:color="auto" w:fill="auto"/>
            <w:noWrap/>
            <w:vAlign w:val="bottom"/>
            <w:hideMark/>
          </w:tcPr>
          <w:p w14:paraId="7BB892C1"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Time/TRS</w:t>
            </w:r>
          </w:p>
        </w:tc>
        <w:tc>
          <w:tcPr>
            <w:tcW w:w="960" w:type="dxa"/>
            <w:tcBorders>
              <w:top w:val="nil"/>
              <w:left w:val="nil"/>
              <w:bottom w:val="nil"/>
              <w:right w:val="single" w:sz="4" w:space="0" w:color="auto"/>
            </w:tcBorders>
            <w:shd w:val="clear" w:color="auto" w:fill="auto"/>
            <w:noWrap/>
            <w:vAlign w:val="bottom"/>
            <w:hideMark/>
          </w:tcPr>
          <w:p w14:paraId="72E2F1D1"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-0.0337</w:t>
            </w:r>
          </w:p>
        </w:tc>
        <w:tc>
          <w:tcPr>
            <w:tcW w:w="960" w:type="dxa"/>
            <w:tcBorders>
              <w:top w:val="nil"/>
              <w:left w:val="nil"/>
              <w:bottom w:val="nil"/>
              <w:right w:val="single" w:sz="4" w:space="0" w:color="auto"/>
            </w:tcBorders>
            <w:shd w:val="clear" w:color="auto" w:fill="auto"/>
            <w:noWrap/>
            <w:vAlign w:val="bottom"/>
            <w:hideMark/>
          </w:tcPr>
          <w:p w14:paraId="0763DAF0"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0.0111</w:t>
            </w:r>
          </w:p>
        </w:tc>
        <w:tc>
          <w:tcPr>
            <w:tcW w:w="960" w:type="dxa"/>
            <w:tcBorders>
              <w:top w:val="nil"/>
              <w:left w:val="nil"/>
              <w:bottom w:val="nil"/>
              <w:right w:val="single" w:sz="4" w:space="0" w:color="auto"/>
            </w:tcBorders>
            <w:shd w:val="clear" w:color="auto" w:fill="auto"/>
            <w:noWrap/>
            <w:vAlign w:val="bottom"/>
            <w:hideMark/>
          </w:tcPr>
          <w:p w14:paraId="1CD2CDFB"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-3.0350</w:t>
            </w:r>
          </w:p>
        </w:tc>
        <w:tc>
          <w:tcPr>
            <w:tcW w:w="1074" w:type="dxa"/>
            <w:tcBorders>
              <w:top w:val="nil"/>
              <w:left w:val="nil"/>
              <w:bottom w:val="nil"/>
              <w:right w:val="nil"/>
            </w:tcBorders>
            <w:shd w:val="clear" w:color="auto" w:fill="auto"/>
            <w:noWrap/>
            <w:vAlign w:val="bottom"/>
            <w:hideMark/>
          </w:tcPr>
          <w:p w14:paraId="5E34D0C7"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-0.0126</w:t>
            </w:r>
          </w:p>
        </w:tc>
        <w:tc>
          <w:tcPr>
            <w:tcW w:w="846" w:type="dxa"/>
            <w:tcBorders>
              <w:top w:val="nil"/>
              <w:left w:val="single" w:sz="4" w:space="0" w:color="auto"/>
              <w:bottom w:val="nil"/>
              <w:right w:val="single" w:sz="4" w:space="0" w:color="auto"/>
            </w:tcBorders>
            <w:shd w:val="clear" w:color="auto" w:fill="auto"/>
            <w:noWrap/>
            <w:vAlign w:val="bottom"/>
            <w:hideMark/>
          </w:tcPr>
          <w:p w14:paraId="2B3A3DC8"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0.0058</w:t>
            </w:r>
          </w:p>
        </w:tc>
        <w:tc>
          <w:tcPr>
            <w:tcW w:w="960" w:type="dxa"/>
            <w:tcBorders>
              <w:top w:val="nil"/>
              <w:left w:val="nil"/>
              <w:bottom w:val="nil"/>
              <w:right w:val="single" w:sz="4" w:space="0" w:color="auto"/>
            </w:tcBorders>
            <w:shd w:val="clear" w:color="auto" w:fill="auto"/>
            <w:noWrap/>
            <w:vAlign w:val="bottom"/>
            <w:hideMark/>
          </w:tcPr>
          <w:p w14:paraId="7460F32D"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-2.1930</w:t>
            </w:r>
          </w:p>
        </w:tc>
      </w:tr>
      <w:tr w:rsidR="00A30676" w:rsidRPr="00C4433D" w14:paraId="5CA54D0B" w14:textId="77777777" w:rsidTr="003D0E85">
        <w:trPr>
          <w:trHeight w:val="312"/>
        </w:trPr>
        <w:tc>
          <w:tcPr>
            <w:tcW w:w="1240" w:type="dxa"/>
            <w:tcBorders>
              <w:top w:val="nil"/>
              <w:left w:val="single" w:sz="4" w:space="0" w:color="auto"/>
              <w:bottom w:val="single" w:sz="4" w:space="0" w:color="auto"/>
              <w:right w:val="nil"/>
            </w:tcBorders>
            <w:shd w:val="clear" w:color="auto" w:fill="auto"/>
            <w:noWrap/>
            <w:vAlign w:val="bottom"/>
            <w:hideMark/>
          </w:tcPr>
          <w:p w14:paraId="1DDFDCCD"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h</w:t>
            </w:r>
            <w:r w:rsidRPr="00C4433D">
              <w:rPr>
                <w:rFonts w:ascii="Calibri" w:eastAsia="Times New Roman" w:hAnsi="Calibri" w:cs="Calibri"/>
                <w:color w:val="000000"/>
                <w:vertAlign w:val="subscript"/>
                <w:lang w:eastAsia="en-GB"/>
              </w:rPr>
              <w:t>RL</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0267672"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Time/Line</w:t>
            </w:r>
          </w:p>
        </w:tc>
        <w:tc>
          <w:tcPr>
            <w:tcW w:w="960" w:type="dxa"/>
            <w:tcBorders>
              <w:top w:val="nil"/>
              <w:left w:val="nil"/>
              <w:bottom w:val="nil"/>
              <w:right w:val="single" w:sz="4" w:space="0" w:color="auto"/>
            </w:tcBorders>
            <w:shd w:val="clear" w:color="auto" w:fill="auto"/>
            <w:noWrap/>
            <w:vAlign w:val="bottom"/>
            <w:hideMark/>
          </w:tcPr>
          <w:p w14:paraId="4E9AC250"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-0.0056</w:t>
            </w:r>
          </w:p>
        </w:tc>
        <w:tc>
          <w:tcPr>
            <w:tcW w:w="960" w:type="dxa"/>
            <w:tcBorders>
              <w:top w:val="nil"/>
              <w:left w:val="nil"/>
              <w:bottom w:val="nil"/>
              <w:right w:val="single" w:sz="4" w:space="0" w:color="auto"/>
            </w:tcBorders>
            <w:shd w:val="clear" w:color="auto" w:fill="auto"/>
            <w:noWrap/>
            <w:vAlign w:val="bottom"/>
            <w:hideMark/>
          </w:tcPr>
          <w:p w14:paraId="221D5B2B"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0.0077</w:t>
            </w:r>
          </w:p>
        </w:tc>
        <w:tc>
          <w:tcPr>
            <w:tcW w:w="960" w:type="dxa"/>
            <w:tcBorders>
              <w:top w:val="nil"/>
              <w:left w:val="nil"/>
              <w:bottom w:val="nil"/>
              <w:right w:val="single" w:sz="4" w:space="0" w:color="auto"/>
            </w:tcBorders>
            <w:shd w:val="clear" w:color="auto" w:fill="auto"/>
            <w:noWrap/>
            <w:vAlign w:val="bottom"/>
            <w:hideMark/>
          </w:tcPr>
          <w:p w14:paraId="5B3F4DDF"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-0.7330</w:t>
            </w:r>
          </w:p>
        </w:tc>
        <w:tc>
          <w:tcPr>
            <w:tcW w:w="1074" w:type="dxa"/>
            <w:tcBorders>
              <w:top w:val="nil"/>
              <w:left w:val="nil"/>
              <w:bottom w:val="single" w:sz="4" w:space="0" w:color="auto"/>
              <w:right w:val="nil"/>
            </w:tcBorders>
            <w:shd w:val="clear" w:color="auto" w:fill="auto"/>
            <w:noWrap/>
            <w:vAlign w:val="bottom"/>
            <w:hideMark/>
          </w:tcPr>
          <w:p w14:paraId="269B4845"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0.0052</w:t>
            </w:r>
          </w:p>
        </w:tc>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E3033E4"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A438DD8"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r>
      <w:tr w:rsidR="00A30676" w:rsidRPr="00C4433D" w14:paraId="4B43FA27" w14:textId="77777777" w:rsidTr="003D0E85">
        <w:trPr>
          <w:trHeight w:val="288"/>
        </w:trPr>
        <w:tc>
          <w:tcPr>
            <w:tcW w:w="1240" w:type="dxa"/>
            <w:tcBorders>
              <w:top w:val="nil"/>
              <w:left w:val="single" w:sz="4" w:space="0" w:color="auto"/>
              <w:bottom w:val="nil"/>
              <w:right w:val="single" w:sz="4" w:space="0" w:color="auto"/>
            </w:tcBorders>
            <w:shd w:val="clear" w:color="auto" w:fill="auto"/>
            <w:noWrap/>
            <w:vAlign w:val="bottom"/>
            <w:hideMark/>
          </w:tcPr>
          <w:p w14:paraId="4C8973F7"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2060" w:type="dxa"/>
            <w:tcBorders>
              <w:top w:val="nil"/>
              <w:left w:val="nil"/>
              <w:bottom w:val="nil"/>
              <w:right w:val="nil"/>
            </w:tcBorders>
            <w:shd w:val="clear" w:color="auto" w:fill="auto"/>
            <w:noWrap/>
            <w:vAlign w:val="bottom"/>
            <w:hideMark/>
          </w:tcPr>
          <w:p w14:paraId="5032A3D2" w14:textId="77777777" w:rsidR="00A30676" w:rsidRPr="00C4433D" w:rsidRDefault="00A30676" w:rsidP="003D0E85">
            <w:pPr>
              <w:spacing w:after="0" w:line="240" w:lineRule="auto"/>
              <w:rPr>
                <w:rFonts w:ascii="Calibri" w:eastAsia="Times New Roman" w:hAnsi="Calibri" w:cs="Calibri"/>
                <w:color w:val="000000"/>
                <w:lang w:eastAsia="en-GB"/>
              </w:rPr>
            </w:pPr>
          </w:p>
        </w:tc>
        <w:tc>
          <w:tcPr>
            <w:tcW w:w="960" w:type="dxa"/>
            <w:tcBorders>
              <w:top w:val="single" w:sz="4" w:space="0" w:color="auto"/>
              <w:left w:val="single" w:sz="4" w:space="0" w:color="auto"/>
              <w:bottom w:val="nil"/>
              <w:right w:val="nil"/>
            </w:tcBorders>
            <w:shd w:val="clear" w:color="auto" w:fill="auto"/>
            <w:noWrap/>
            <w:vAlign w:val="bottom"/>
            <w:hideMark/>
          </w:tcPr>
          <w:p w14:paraId="41C38801"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960" w:type="dxa"/>
            <w:tcBorders>
              <w:top w:val="single" w:sz="4" w:space="0" w:color="auto"/>
              <w:left w:val="nil"/>
              <w:bottom w:val="nil"/>
              <w:right w:val="nil"/>
            </w:tcBorders>
            <w:shd w:val="clear" w:color="auto" w:fill="auto"/>
            <w:noWrap/>
            <w:vAlign w:val="bottom"/>
            <w:hideMark/>
          </w:tcPr>
          <w:p w14:paraId="05456A9B"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14:paraId="5317606C"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1074" w:type="dxa"/>
            <w:tcBorders>
              <w:top w:val="nil"/>
              <w:left w:val="nil"/>
              <w:bottom w:val="nil"/>
              <w:right w:val="nil"/>
            </w:tcBorders>
            <w:shd w:val="clear" w:color="auto" w:fill="auto"/>
            <w:noWrap/>
            <w:vAlign w:val="bottom"/>
            <w:hideMark/>
          </w:tcPr>
          <w:p w14:paraId="42DAFE34" w14:textId="77777777" w:rsidR="00A30676" w:rsidRPr="00C4433D" w:rsidRDefault="00A30676" w:rsidP="003D0E85">
            <w:pPr>
              <w:spacing w:after="0" w:line="240" w:lineRule="auto"/>
              <w:rPr>
                <w:rFonts w:ascii="Calibri" w:eastAsia="Times New Roman" w:hAnsi="Calibri" w:cs="Calibri"/>
                <w:color w:val="000000"/>
                <w:lang w:eastAsia="en-GB"/>
              </w:rPr>
            </w:pPr>
          </w:p>
        </w:tc>
        <w:tc>
          <w:tcPr>
            <w:tcW w:w="846" w:type="dxa"/>
            <w:tcBorders>
              <w:top w:val="nil"/>
              <w:left w:val="single" w:sz="4" w:space="0" w:color="auto"/>
              <w:bottom w:val="nil"/>
              <w:right w:val="single" w:sz="4" w:space="0" w:color="auto"/>
            </w:tcBorders>
            <w:shd w:val="clear" w:color="auto" w:fill="auto"/>
            <w:noWrap/>
            <w:vAlign w:val="bottom"/>
            <w:hideMark/>
          </w:tcPr>
          <w:p w14:paraId="6656EB1A"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14:paraId="2F8638F6"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r>
      <w:tr w:rsidR="00A30676" w:rsidRPr="00C4433D" w14:paraId="5724C7F7" w14:textId="77777777" w:rsidTr="003D0E85">
        <w:trPr>
          <w:trHeight w:val="288"/>
        </w:trPr>
        <w:tc>
          <w:tcPr>
            <w:tcW w:w="1240" w:type="dxa"/>
            <w:tcBorders>
              <w:top w:val="nil"/>
              <w:left w:val="single" w:sz="4" w:space="0" w:color="auto"/>
              <w:bottom w:val="nil"/>
              <w:right w:val="single" w:sz="4" w:space="0" w:color="auto"/>
            </w:tcBorders>
            <w:shd w:val="clear" w:color="auto" w:fill="auto"/>
            <w:noWrap/>
            <w:vAlign w:val="bottom"/>
            <w:hideMark/>
          </w:tcPr>
          <w:p w14:paraId="09E07A45"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λ</w:t>
            </w:r>
          </w:p>
        </w:tc>
        <w:tc>
          <w:tcPr>
            <w:tcW w:w="2060" w:type="dxa"/>
            <w:tcBorders>
              <w:top w:val="nil"/>
              <w:left w:val="nil"/>
              <w:bottom w:val="nil"/>
              <w:right w:val="nil"/>
            </w:tcBorders>
            <w:shd w:val="clear" w:color="auto" w:fill="auto"/>
            <w:noWrap/>
            <w:vAlign w:val="bottom"/>
            <w:hideMark/>
          </w:tcPr>
          <w:p w14:paraId="03BF6337" w14:textId="77777777" w:rsidR="00A30676" w:rsidRPr="00C4433D" w:rsidRDefault="00A30676" w:rsidP="003D0E85">
            <w:pPr>
              <w:spacing w:after="0" w:line="240" w:lineRule="auto"/>
              <w:rPr>
                <w:rFonts w:ascii="Calibri" w:eastAsia="Times New Roman" w:hAnsi="Calibri" w:cs="Calibri"/>
                <w:color w:val="000000"/>
                <w:lang w:eastAsia="en-GB"/>
              </w:rPr>
            </w:pPr>
          </w:p>
        </w:tc>
        <w:tc>
          <w:tcPr>
            <w:tcW w:w="960" w:type="dxa"/>
            <w:tcBorders>
              <w:top w:val="nil"/>
              <w:left w:val="single" w:sz="4" w:space="0" w:color="auto"/>
              <w:bottom w:val="nil"/>
              <w:right w:val="nil"/>
            </w:tcBorders>
            <w:shd w:val="clear" w:color="auto" w:fill="auto"/>
            <w:noWrap/>
            <w:vAlign w:val="bottom"/>
            <w:hideMark/>
          </w:tcPr>
          <w:p w14:paraId="604DE6A8"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2796A548" w14:textId="77777777" w:rsidR="00A30676" w:rsidRPr="00C4433D" w:rsidRDefault="00A30676" w:rsidP="003D0E85">
            <w:pPr>
              <w:spacing w:after="0" w:line="240" w:lineRule="auto"/>
              <w:rPr>
                <w:rFonts w:ascii="Calibri" w:eastAsia="Times New Roman" w:hAnsi="Calibri" w:cs="Calibri"/>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594F845C"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1074" w:type="dxa"/>
            <w:tcBorders>
              <w:top w:val="nil"/>
              <w:left w:val="nil"/>
              <w:bottom w:val="nil"/>
              <w:right w:val="nil"/>
            </w:tcBorders>
            <w:shd w:val="clear" w:color="auto" w:fill="auto"/>
            <w:noWrap/>
            <w:vAlign w:val="bottom"/>
            <w:hideMark/>
          </w:tcPr>
          <w:p w14:paraId="5A95A905"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5.9798</w:t>
            </w:r>
          </w:p>
        </w:tc>
        <w:tc>
          <w:tcPr>
            <w:tcW w:w="846" w:type="dxa"/>
            <w:tcBorders>
              <w:top w:val="nil"/>
              <w:left w:val="single" w:sz="4" w:space="0" w:color="auto"/>
              <w:bottom w:val="nil"/>
              <w:right w:val="single" w:sz="4" w:space="0" w:color="auto"/>
            </w:tcBorders>
            <w:shd w:val="clear" w:color="auto" w:fill="auto"/>
            <w:noWrap/>
            <w:vAlign w:val="bottom"/>
            <w:hideMark/>
          </w:tcPr>
          <w:p w14:paraId="3A81F85D"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1.0067</w:t>
            </w:r>
          </w:p>
        </w:tc>
        <w:tc>
          <w:tcPr>
            <w:tcW w:w="960" w:type="dxa"/>
            <w:tcBorders>
              <w:top w:val="nil"/>
              <w:left w:val="nil"/>
              <w:bottom w:val="nil"/>
              <w:right w:val="single" w:sz="4" w:space="0" w:color="auto"/>
            </w:tcBorders>
            <w:shd w:val="clear" w:color="auto" w:fill="auto"/>
            <w:noWrap/>
            <w:vAlign w:val="bottom"/>
            <w:hideMark/>
          </w:tcPr>
          <w:p w14:paraId="2721CF91"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5.9400</w:t>
            </w:r>
          </w:p>
        </w:tc>
      </w:tr>
      <w:tr w:rsidR="00A30676" w:rsidRPr="00C4433D" w14:paraId="19CA482A" w14:textId="77777777" w:rsidTr="003D0E8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1823DA"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σ</w:t>
            </w:r>
          </w:p>
        </w:tc>
        <w:tc>
          <w:tcPr>
            <w:tcW w:w="2060" w:type="dxa"/>
            <w:tcBorders>
              <w:top w:val="nil"/>
              <w:left w:val="nil"/>
              <w:bottom w:val="single" w:sz="4" w:space="0" w:color="auto"/>
              <w:right w:val="nil"/>
            </w:tcBorders>
            <w:shd w:val="clear" w:color="auto" w:fill="auto"/>
            <w:noWrap/>
            <w:vAlign w:val="bottom"/>
            <w:hideMark/>
          </w:tcPr>
          <w:p w14:paraId="6E2422DB"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960" w:type="dxa"/>
            <w:tcBorders>
              <w:top w:val="nil"/>
              <w:left w:val="single" w:sz="4" w:space="0" w:color="auto"/>
              <w:bottom w:val="single" w:sz="4" w:space="0" w:color="auto"/>
              <w:right w:val="nil"/>
            </w:tcBorders>
            <w:shd w:val="clear" w:color="auto" w:fill="auto"/>
            <w:noWrap/>
            <w:vAlign w:val="bottom"/>
            <w:hideMark/>
          </w:tcPr>
          <w:p w14:paraId="7B5A2264"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4BE659D4"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F10EB76" w14:textId="77777777" w:rsidR="00A30676" w:rsidRPr="00C4433D" w:rsidRDefault="00A30676" w:rsidP="003D0E85">
            <w:pPr>
              <w:spacing w:after="0" w:line="240" w:lineRule="auto"/>
              <w:rPr>
                <w:rFonts w:ascii="Calibri" w:eastAsia="Times New Roman" w:hAnsi="Calibri" w:cs="Calibri"/>
                <w:color w:val="000000"/>
                <w:lang w:eastAsia="en-GB"/>
              </w:rPr>
            </w:pPr>
            <w:r w:rsidRPr="00C4433D">
              <w:rPr>
                <w:rFonts w:ascii="Calibri" w:eastAsia="Times New Roman" w:hAnsi="Calibri" w:cs="Calibri"/>
                <w:color w:val="000000"/>
                <w:lang w:eastAsia="en-GB"/>
              </w:rPr>
              <w:t> </w:t>
            </w:r>
          </w:p>
        </w:tc>
        <w:tc>
          <w:tcPr>
            <w:tcW w:w="1074" w:type="dxa"/>
            <w:tcBorders>
              <w:top w:val="nil"/>
              <w:left w:val="nil"/>
              <w:bottom w:val="single" w:sz="4" w:space="0" w:color="auto"/>
              <w:right w:val="nil"/>
            </w:tcBorders>
            <w:shd w:val="clear" w:color="auto" w:fill="auto"/>
            <w:noWrap/>
            <w:vAlign w:val="bottom"/>
            <w:hideMark/>
          </w:tcPr>
          <w:p w14:paraId="2725F8B7"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0.7068</w:t>
            </w:r>
          </w:p>
        </w:tc>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6C35F11"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0.0013</w:t>
            </w:r>
          </w:p>
        </w:tc>
        <w:tc>
          <w:tcPr>
            <w:tcW w:w="960" w:type="dxa"/>
            <w:tcBorders>
              <w:top w:val="nil"/>
              <w:left w:val="nil"/>
              <w:bottom w:val="single" w:sz="4" w:space="0" w:color="auto"/>
              <w:right w:val="single" w:sz="4" w:space="0" w:color="auto"/>
            </w:tcBorders>
            <w:shd w:val="clear" w:color="auto" w:fill="auto"/>
            <w:noWrap/>
            <w:vAlign w:val="bottom"/>
            <w:hideMark/>
          </w:tcPr>
          <w:p w14:paraId="4023002B" w14:textId="77777777" w:rsidR="00A30676" w:rsidRPr="00C4433D" w:rsidRDefault="00A30676" w:rsidP="003D0E85">
            <w:pPr>
              <w:spacing w:after="0" w:line="240" w:lineRule="auto"/>
              <w:jc w:val="right"/>
              <w:rPr>
                <w:rFonts w:ascii="Calibri" w:eastAsia="Times New Roman" w:hAnsi="Calibri" w:cs="Calibri"/>
                <w:color w:val="000000"/>
                <w:lang w:eastAsia="en-GB"/>
              </w:rPr>
            </w:pPr>
            <w:r w:rsidRPr="00C4433D">
              <w:rPr>
                <w:rFonts w:ascii="Calibri" w:eastAsia="Times New Roman" w:hAnsi="Calibri" w:cs="Calibri"/>
                <w:color w:val="000000"/>
                <w:lang w:eastAsia="en-GB"/>
              </w:rPr>
              <w:t>530.4030</w:t>
            </w:r>
          </w:p>
        </w:tc>
      </w:tr>
    </w:tbl>
    <w:p w14:paraId="003F453C" w14:textId="77777777" w:rsidR="00A30676" w:rsidRDefault="00A30676" w:rsidP="00A30676"/>
    <w:p w14:paraId="0D89721F" w14:textId="04D5FB4F" w:rsidR="00056832" w:rsidRDefault="00A30676" w:rsidP="00056832">
      <w:r w:rsidRPr="005448F4">
        <w:t xml:space="preserve">In general, </w:t>
      </w:r>
      <w:r w:rsidR="00204141">
        <w:t xml:space="preserve">most of the </w:t>
      </w:r>
      <w:r w:rsidRPr="005448F4">
        <w:t xml:space="preserve">coeﬃcients </w:t>
      </w:r>
      <w:r>
        <w:t xml:space="preserve">are found to be </w:t>
      </w:r>
      <w:r w:rsidRPr="005448F4">
        <w:t>statistically signiﬁcant</w:t>
      </w:r>
      <w:r>
        <w:t>, although some of the time elements are more marginal</w:t>
      </w:r>
      <w:r w:rsidRPr="005448F4">
        <w:t xml:space="preserve">. </w:t>
      </w:r>
      <w:r w:rsidR="003D0E85">
        <w:t xml:space="preserve"> For both estimations, a</w:t>
      </w:r>
      <w:r w:rsidRPr="005448F4">
        <w:t xml:space="preserve">t the sample mean </w:t>
      </w:r>
      <w:r>
        <w:t>marginal products were found to be consistent with priors and economic theory, i.e. increases in any of the three inputs increases the output.  Finally, with regards to the stochastic frontier, the null hypothesis that there are no inefficiency effects (sigma) is rejected</w:t>
      </w:r>
      <w:r w:rsidR="00AF27A6">
        <w:t xml:space="preserve">.  Both functions therefore are </w:t>
      </w:r>
      <w:r>
        <w:t xml:space="preserve">deemed to be appropriate </w:t>
      </w:r>
      <w:r w:rsidR="00AF27A6">
        <w:t xml:space="preserve">to use to estimate </w:t>
      </w:r>
      <w:r>
        <w:t xml:space="preserve">efficiencies and </w:t>
      </w:r>
      <w:r w:rsidR="00AF27A6">
        <w:t xml:space="preserve">derive </w:t>
      </w:r>
      <w:r>
        <w:t>TFP measures</w:t>
      </w:r>
      <w:r w:rsidR="00AF27A6">
        <w:t>.</w:t>
      </w:r>
      <w:r>
        <w:t xml:space="preserve"> </w:t>
      </w:r>
    </w:p>
    <w:p w14:paraId="0BF929A2" w14:textId="77777777" w:rsidR="003D0E85" w:rsidRDefault="003D0E85" w:rsidP="00056832"/>
    <w:p w14:paraId="0B391BFD" w14:textId="63FD367E" w:rsidR="00A30676" w:rsidRDefault="00917771" w:rsidP="003D0E85">
      <w:pPr>
        <w:pStyle w:val="Heading3"/>
      </w:pPr>
      <w:r>
        <w:t xml:space="preserve">6.3 </w:t>
      </w:r>
      <w:r w:rsidR="00A30676">
        <w:t>COLS Frontier Derived TFP Results</w:t>
      </w:r>
    </w:p>
    <w:p w14:paraId="28F36E2B" w14:textId="51B272CF" w:rsidR="00A30676" w:rsidRDefault="00A30676" w:rsidP="00A30676">
      <w:r>
        <w:t xml:space="preserve">For the TFP measures, </w:t>
      </w:r>
      <w:r w:rsidR="003D0E85">
        <w:t xml:space="preserve">the COLS derived results </w:t>
      </w:r>
      <w:r>
        <w:t xml:space="preserve">are presented in a similar fashion to the DEA based </w:t>
      </w:r>
      <w:r w:rsidR="00AE2AA7">
        <w:t>findings</w:t>
      </w:r>
      <w:r>
        <w:t xml:space="preserve"> in Table </w:t>
      </w:r>
      <w:r w:rsidR="003D0E85">
        <w:t>3</w:t>
      </w:r>
      <w:r>
        <w:t xml:space="preserve"> for annual mean values and the overall cumulative effect.</w:t>
      </w:r>
    </w:p>
    <w:p w14:paraId="5C8F0674" w14:textId="77777777" w:rsidR="00AF27A6" w:rsidRDefault="00AF27A6">
      <w:r>
        <w:br w:type="page"/>
      </w:r>
    </w:p>
    <w:p w14:paraId="1DD62891" w14:textId="036BE078" w:rsidR="00A30676" w:rsidRDefault="00A30676" w:rsidP="00A30676">
      <w:r>
        <w:t>Table 3 – British Passenger Rail Productivity, TFP, EC, TC, 1998 to 2015, COLS efficiency based results</w:t>
      </w:r>
    </w:p>
    <w:tbl>
      <w:tblPr>
        <w:tblW w:w="7760" w:type="dxa"/>
        <w:tblLook w:val="04A0" w:firstRow="1" w:lastRow="0" w:firstColumn="1" w:lastColumn="0" w:noHBand="0" w:noVBand="1"/>
      </w:tblPr>
      <w:tblGrid>
        <w:gridCol w:w="2000"/>
        <w:gridCol w:w="960"/>
        <w:gridCol w:w="960"/>
        <w:gridCol w:w="960"/>
        <w:gridCol w:w="960"/>
        <w:gridCol w:w="960"/>
        <w:gridCol w:w="960"/>
      </w:tblGrid>
      <w:tr w:rsidR="00A30676" w:rsidRPr="00E622F1" w14:paraId="37F1C404" w14:textId="77777777" w:rsidTr="003D0E85">
        <w:trPr>
          <w:trHeight w:val="288"/>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3BDF1087"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xml:space="preserve">Year </w:t>
            </w:r>
          </w:p>
        </w:tc>
        <w:tc>
          <w:tcPr>
            <w:tcW w:w="1920" w:type="dxa"/>
            <w:gridSpan w:val="2"/>
            <w:tcBorders>
              <w:top w:val="single" w:sz="4" w:space="0" w:color="auto"/>
              <w:left w:val="single" w:sz="4" w:space="0" w:color="auto"/>
              <w:bottom w:val="nil"/>
              <w:right w:val="nil"/>
            </w:tcBorders>
            <w:shd w:val="clear" w:color="auto" w:fill="auto"/>
            <w:noWrap/>
            <w:vAlign w:val="bottom"/>
            <w:hideMark/>
          </w:tcPr>
          <w:p w14:paraId="7789DA50"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Annual Means</w:t>
            </w:r>
          </w:p>
        </w:tc>
        <w:tc>
          <w:tcPr>
            <w:tcW w:w="960" w:type="dxa"/>
            <w:tcBorders>
              <w:top w:val="single" w:sz="4" w:space="0" w:color="auto"/>
              <w:left w:val="nil"/>
              <w:bottom w:val="nil"/>
              <w:right w:val="single" w:sz="4" w:space="0" w:color="auto"/>
            </w:tcBorders>
            <w:shd w:val="clear" w:color="auto" w:fill="auto"/>
            <w:noWrap/>
            <w:vAlign w:val="bottom"/>
            <w:hideMark/>
          </w:tcPr>
          <w:p w14:paraId="7E893601"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c>
          <w:tcPr>
            <w:tcW w:w="1920" w:type="dxa"/>
            <w:gridSpan w:val="2"/>
            <w:tcBorders>
              <w:top w:val="single" w:sz="4" w:space="0" w:color="auto"/>
              <w:left w:val="nil"/>
              <w:bottom w:val="nil"/>
              <w:right w:val="nil"/>
            </w:tcBorders>
            <w:shd w:val="clear" w:color="auto" w:fill="auto"/>
            <w:noWrap/>
            <w:vAlign w:val="bottom"/>
            <w:hideMark/>
          </w:tcPr>
          <w:p w14:paraId="70E9C9CF"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Cumulative Effect</w:t>
            </w:r>
          </w:p>
        </w:tc>
        <w:tc>
          <w:tcPr>
            <w:tcW w:w="960" w:type="dxa"/>
            <w:tcBorders>
              <w:top w:val="single" w:sz="4" w:space="0" w:color="auto"/>
              <w:left w:val="nil"/>
              <w:bottom w:val="nil"/>
              <w:right w:val="single" w:sz="4" w:space="0" w:color="auto"/>
            </w:tcBorders>
            <w:shd w:val="clear" w:color="auto" w:fill="auto"/>
            <w:noWrap/>
            <w:vAlign w:val="bottom"/>
            <w:hideMark/>
          </w:tcPr>
          <w:p w14:paraId="53EFF75E"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r>
      <w:tr w:rsidR="00A30676" w:rsidRPr="00E622F1" w14:paraId="63759603" w14:textId="77777777" w:rsidTr="003D0E8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0F99263"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nil"/>
            </w:tcBorders>
            <w:shd w:val="clear" w:color="auto" w:fill="auto"/>
            <w:noWrap/>
            <w:vAlign w:val="bottom"/>
            <w:hideMark/>
          </w:tcPr>
          <w:p w14:paraId="1171BE01"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EC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2DE44"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65AF7E"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TFP</w:t>
            </w:r>
          </w:p>
        </w:tc>
        <w:tc>
          <w:tcPr>
            <w:tcW w:w="960" w:type="dxa"/>
            <w:tcBorders>
              <w:top w:val="single" w:sz="4" w:space="0" w:color="auto"/>
              <w:left w:val="nil"/>
              <w:bottom w:val="single" w:sz="4" w:space="0" w:color="auto"/>
              <w:right w:val="nil"/>
            </w:tcBorders>
            <w:shd w:val="clear" w:color="auto" w:fill="auto"/>
            <w:noWrap/>
            <w:vAlign w:val="bottom"/>
            <w:hideMark/>
          </w:tcPr>
          <w:p w14:paraId="0C0A57FB"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EC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DFE8C"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7AE379"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TFP</w:t>
            </w:r>
          </w:p>
        </w:tc>
      </w:tr>
      <w:tr w:rsidR="00A30676" w:rsidRPr="00E622F1" w14:paraId="364DA8A0"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3108D113"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1998</w:t>
            </w:r>
          </w:p>
        </w:tc>
        <w:tc>
          <w:tcPr>
            <w:tcW w:w="960" w:type="dxa"/>
            <w:tcBorders>
              <w:top w:val="nil"/>
              <w:left w:val="nil"/>
              <w:bottom w:val="nil"/>
              <w:right w:val="nil"/>
            </w:tcBorders>
            <w:shd w:val="clear" w:color="auto" w:fill="auto"/>
            <w:noWrap/>
            <w:vAlign w:val="bottom"/>
            <w:hideMark/>
          </w:tcPr>
          <w:p w14:paraId="3A499387"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1.0063</w:t>
            </w:r>
          </w:p>
        </w:tc>
        <w:tc>
          <w:tcPr>
            <w:tcW w:w="960" w:type="dxa"/>
            <w:tcBorders>
              <w:top w:val="nil"/>
              <w:left w:val="single" w:sz="4" w:space="0" w:color="auto"/>
              <w:bottom w:val="nil"/>
              <w:right w:val="single" w:sz="4" w:space="0" w:color="auto"/>
            </w:tcBorders>
            <w:shd w:val="clear" w:color="auto" w:fill="auto"/>
            <w:noWrap/>
            <w:vAlign w:val="bottom"/>
            <w:hideMark/>
          </w:tcPr>
          <w:p w14:paraId="33AD82C7"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1.0117</w:t>
            </w:r>
          </w:p>
        </w:tc>
        <w:tc>
          <w:tcPr>
            <w:tcW w:w="960" w:type="dxa"/>
            <w:tcBorders>
              <w:top w:val="nil"/>
              <w:left w:val="nil"/>
              <w:bottom w:val="nil"/>
              <w:right w:val="single" w:sz="4" w:space="0" w:color="auto"/>
            </w:tcBorders>
            <w:shd w:val="clear" w:color="auto" w:fill="auto"/>
            <w:noWrap/>
            <w:vAlign w:val="bottom"/>
            <w:hideMark/>
          </w:tcPr>
          <w:p w14:paraId="227ED2E1"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1.0181</w:t>
            </w:r>
          </w:p>
        </w:tc>
        <w:tc>
          <w:tcPr>
            <w:tcW w:w="960" w:type="dxa"/>
            <w:tcBorders>
              <w:top w:val="nil"/>
              <w:left w:val="nil"/>
              <w:bottom w:val="nil"/>
              <w:right w:val="nil"/>
            </w:tcBorders>
            <w:shd w:val="clear" w:color="auto" w:fill="auto"/>
            <w:noWrap/>
            <w:vAlign w:val="bottom"/>
            <w:hideMark/>
          </w:tcPr>
          <w:p w14:paraId="766CB942"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1.0063</w:t>
            </w:r>
          </w:p>
        </w:tc>
        <w:tc>
          <w:tcPr>
            <w:tcW w:w="960" w:type="dxa"/>
            <w:tcBorders>
              <w:top w:val="nil"/>
              <w:left w:val="single" w:sz="4" w:space="0" w:color="auto"/>
              <w:bottom w:val="nil"/>
              <w:right w:val="single" w:sz="4" w:space="0" w:color="auto"/>
            </w:tcBorders>
            <w:shd w:val="clear" w:color="auto" w:fill="auto"/>
            <w:noWrap/>
            <w:vAlign w:val="bottom"/>
            <w:hideMark/>
          </w:tcPr>
          <w:p w14:paraId="440C09AB"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1.0117</w:t>
            </w:r>
          </w:p>
        </w:tc>
        <w:tc>
          <w:tcPr>
            <w:tcW w:w="960" w:type="dxa"/>
            <w:tcBorders>
              <w:top w:val="nil"/>
              <w:left w:val="nil"/>
              <w:bottom w:val="nil"/>
              <w:right w:val="single" w:sz="4" w:space="0" w:color="auto"/>
            </w:tcBorders>
            <w:shd w:val="clear" w:color="auto" w:fill="auto"/>
            <w:noWrap/>
            <w:vAlign w:val="bottom"/>
            <w:hideMark/>
          </w:tcPr>
          <w:p w14:paraId="1CDBC628"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1.0181</w:t>
            </w:r>
          </w:p>
        </w:tc>
      </w:tr>
      <w:tr w:rsidR="00A30676" w:rsidRPr="00E622F1" w14:paraId="6AE9B094"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5C4ACF86"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1999</w:t>
            </w:r>
          </w:p>
        </w:tc>
        <w:tc>
          <w:tcPr>
            <w:tcW w:w="960" w:type="dxa"/>
            <w:tcBorders>
              <w:top w:val="nil"/>
              <w:left w:val="nil"/>
              <w:bottom w:val="nil"/>
              <w:right w:val="nil"/>
            </w:tcBorders>
            <w:shd w:val="clear" w:color="auto" w:fill="auto"/>
            <w:noWrap/>
            <w:vAlign w:val="bottom"/>
            <w:hideMark/>
          </w:tcPr>
          <w:p w14:paraId="3D0839DF"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1.0310</w:t>
            </w:r>
          </w:p>
        </w:tc>
        <w:tc>
          <w:tcPr>
            <w:tcW w:w="960" w:type="dxa"/>
            <w:tcBorders>
              <w:top w:val="nil"/>
              <w:left w:val="single" w:sz="4" w:space="0" w:color="auto"/>
              <w:bottom w:val="nil"/>
              <w:right w:val="single" w:sz="4" w:space="0" w:color="auto"/>
            </w:tcBorders>
            <w:shd w:val="clear" w:color="auto" w:fill="auto"/>
            <w:noWrap/>
            <w:vAlign w:val="bottom"/>
            <w:hideMark/>
          </w:tcPr>
          <w:p w14:paraId="7FA0F2F4"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1.0111</w:t>
            </w:r>
          </w:p>
        </w:tc>
        <w:tc>
          <w:tcPr>
            <w:tcW w:w="960" w:type="dxa"/>
            <w:tcBorders>
              <w:top w:val="nil"/>
              <w:left w:val="nil"/>
              <w:bottom w:val="nil"/>
              <w:right w:val="single" w:sz="4" w:space="0" w:color="auto"/>
            </w:tcBorders>
            <w:shd w:val="clear" w:color="auto" w:fill="auto"/>
            <w:noWrap/>
            <w:vAlign w:val="bottom"/>
            <w:hideMark/>
          </w:tcPr>
          <w:p w14:paraId="5C957DC4"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1.0424</w:t>
            </w:r>
          </w:p>
        </w:tc>
        <w:tc>
          <w:tcPr>
            <w:tcW w:w="960" w:type="dxa"/>
            <w:tcBorders>
              <w:top w:val="nil"/>
              <w:left w:val="nil"/>
              <w:bottom w:val="nil"/>
              <w:right w:val="nil"/>
            </w:tcBorders>
            <w:shd w:val="clear" w:color="auto" w:fill="auto"/>
            <w:noWrap/>
            <w:vAlign w:val="bottom"/>
            <w:hideMark/>
          </w:tcPr>
          <w:p w14:paraId="6E069D3F"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1.0376</w:t>
            </w:r>
          </w:p>
        </w:tc>
        <w:tc>
          <w:tcPr>
            <w:tcW w:w="960" w:type="dxa"/>
            <w:tcBorders>
              <w:top w:val="nil"/>
              <w:left w:val="single" w:sz="4" w:space="0" w:color="auto"/>
              <w:bottom w:val="nil"/>
              <w:right w:val="single" w:sz="4" w:space="0" w:color="auto"/>
            </w:tcBorders>
            <w:shd w:val="clear" w:color="auto" w:fill="auto"/>
            <w:noWrap/>
            <w:vAlign w:val="bottom"/>
            <w:hideMark/>
          </w:tcPr>
          <w:p w14:paraId="0ECB59F3"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1.0229</w:t>
            </w:r>
          </w:p>
        </w:tc>
        <w:tc>
          <w:tcPr>
            <w:tcW w:w="960" w:type="dxa"/>
            <w:tcBorders>
              <w:top w:val="nil"/>
              <w:left w:val="nil"/>
              <w:bottom w:val="nil"/>
              <w:right w:val="single" w:sz="4" w:space="0" w:color="auto"/>
            </w:tcBorders>
            <w:shd w:val="clear" w:color="auto" w:fill="auto"/>
            <w:noWrap/>
            <w:vAlign w:val="bottom"/>
            <w:hideMark/>
          </w:tcPr>
          <w:p w14:paraId="2A466DA9"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1.0613</w:t>
            </w:r>
          </w:p>
        </w:tc>
      </w:tr>
      <w:tr w:rsidR="00A30676" w:rsidRPr="00E622F1" w14:paraId="6FF138AB"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222802D9"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2000</w:t>
            </w:r>
          </w:p>
        </w:tc>
        <w:tc>
          <w:tcPr>
            <w:tcW w:w="960" w:type="dxa"/>
            <w:tcBorders>
              <w:top w:val="nil"/>
              <w:left w:val="nil"/>
              <w:bottom w:val="nil"/>
              <w:right w:val="nil"/>
            </w:tcBorders>
            <w:shd w:val="clear" w:color="auto" w:fill="auto"/>
            <w:noWrap/>
            <w:vAlign w:val="bottom"/>
            <w:hideMark/>
          </w:tcPr>
          <w:p w14:paraId="7401F3A7"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1.0284</w:t>
            </w:r>
          </w:p>
        </w:tc>
        <w:tc>
          <w:tcPr>
            <w:tcW w:w="960" w:type="dxa"/>
            <w:tcBorders>
              <w:top w:val="nil"/>
              <w:left w:val="single" w:sz="4" w:space="0" w:color="auto"/>
              <w:bottom w:val="nil"/>
              <w:right w:val="single" w:sz="4" w:space="0" w:color="auto"/>
            </w:tcBorders>
            <w:shd w:val="clear" w:color="auto" w:fill="auto"/>
            <w:noWrap/>
            <w:vAlign w:val="bottom"/>
            <w:hideMark/>
          </w:tcPr>
          <w:p w14:paraId="09ED500C"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1.0104</w:t>
            </w:r>
          </w:p>
        </w:tc>
        <w:tc>
          <w:tcPr>
            <w:tcW w:w="960" w:type="dxa"/>
            <w:tcBorders>
              <w:top w:val="nil"/>
              <w:left w:val="nil"/>
              <w:bottom w:val="nil"/>
              <w:right w:val="single" w:sz="4" w:space="0" w:color="auto"/>
            </w:tcBorders>
            <w:shd w:val="clear" w:color="auto" w:fill="auto"/>
            <w:noWrap/>
            <w:vAlign w:val="bottom"/>
            <w:hideMark/>
          </w:tcPr>
          <w:p w14:paraId="702491EE"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1.0390</w:t>
            </w:r>
          </w:p>
        </w:tc>
        <w:tc>
          <w:tcPr>
            <w:tcW w:w="960" w:type="dxa"/>
            <w:tcBorders>
              <w:top w:val="nil"/>
              <w:left w:val="nil"/>
              <w:bottom w:val="nil"/>
              <w:right w:val="nil"/>
            </w:tcBorders>
            <w:shd w:val="clear" w:color="auto" w:fill="auto"/>
            <w:noWrap/>
            <w:vAlign w:val="bottom"/>
            <w:hideMark/>
          </w:tcPr>
          <w:p w14:paraId="45FF52CB"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1.0670</w:t>
            </w:r>
          </w:p>
        </w:tc>
        <w:tc>
          <w:tcPr>
            <w:tcW w:w="960" w:type="dxa"/>
            <w:tcBorders>
              <w:top w:val="nil"/>
              <w:left w:val="single" w:sz="4" w:space="0" w:color="auto"/>
              <w:bottom w:val="nil"/>
              <w:right w:val="single" w:sz="4" w:space="0" w:color="auto"/>
            </w:tcBorders>
            <w:shd w:val="clear" w:color="auto" w:fill="auto"/>
            <w:noWrap/>
            <w:vAlign w:val="bottom"/>
            <w:hideMark/>
          </w:tcPr>
          <w:p w14:paraId="6F180EFC"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1.0335</w:t>
            </w:r>
          </w:p>
        </w:tc>
        <w:tc>
          <w:tcPr>
            <w:tcW w:w="960" w:type="dxa"/>
            <w:tcBorders>
              <w:top w:val="nil"/>
              <w:left w:val="nil"/>
              <w:bottom w:val="nil"/>
              <w:right w:val="single" w:sz="4" w:space="0" w:color="auto"/>
            </w:tcBorders>
            <w:shd w:val="clear" w:color="auto" w:fill="auto"/>
            <w:noWrap/>
            <w:vAlign w:val="bottom"/>
            <w:hideMark/>
          </w:tcPr>
          <w:p w14:paraId="0903C034"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1.1027</w:t>
            </w:r>
          </w:p>
        </w:tc>
      </w:tr>
      <w:tr w:rsidR="00A30676" w:rsidRPr="00E622F1" w14:paraId="39EA23D3"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1417F7A7"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2001</w:t>
            </w:r>
          </w:p>
        </w:tc>
        <w:tc>
          <w:tcPr>
            <w:tcW w:w="960" w:type="dxa"/>
            <w:tcBorders>
              <w:top w:val="nil"/>
              <w:left w:val="nil"/>
              <w:bottom w:val="nil"/>
              <w:right w:val="nil"/>
            </w:tcBorders>
            <w:shd w:val="clear" w:color="auto" w:fill="auto"/>
            <w:noWrap/>
            <w:vAlign w:val="bottom"/>
            <w:hideMark/>
          </w:tcPr>
          <w:p w14:paraId="76847B23"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0.9767</w:t>
            </w:r>
          </w:p>
        </w:tc>
        <w:tc>
          <w:tcPr>
            <w:tcW w:w="960" w:type="dxa"/>
            <w:tcBorders>
              <w:top w:val="nil"/>
              <w:left w:val="single" w:sz="4" w:space="0" w:color="auto"/>
              <w:bottom w:val="nil"/>
              <w:right w:val="single" w:sz="4" w:space="0" w:color="auto"/>
            </w:tcBorders>
            <w:shd w:val="clear" w:color="auto" w:fill="auto"/>
            <w:noWrap/>
            <w:vAlign w:val="bottom"/>
            <w:hideMark/>
          </w:tcPr>
          <w:p w14:paraId="5374D3C4"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1.0102</w:t>
            </w:r>
          </w:p>
        </w:tc>
        <w:tc>
          <w:tcPr>
            <w:tcW w:w="960" w:type="dxa"/>
            <w:tcBorders>
              <w:top w:val="nil"/>
              <w:left w:val="nil"/>
              <w:bottom w:val="nil"/>
              <w:right w:val="single" w:sz="4" w:space="0" w:color="auto"/>
            </w:tcBorders>
            <w:shd w:val="clear" w:color="auto" w:fill="auto"/>
            <w:noWrap/>
            <w:vAlign w:val="bottom"/>
            <w:hideMark/>
          </w:tcPr>
          <w:p w14:paraId="43ECEF54"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0.9867</w:t>
            </w:r>
          </w:p>
        </w:tc>
        <w:tc>
          <w:tcPr>
            <w:tcW w:w="960" w:type="dxa"/>
            <w:tcBorders>
              <w:top w:val="nil"/>
              <w:left w:val="nil"/>
              <w:bottom w:val="nil"/>
              <w:right w:val="nil"/>
            </w:tcBorders>
            <w:shd w:val="clear" w:color="auto" w:fill="auto"/>
            <w:noWrap/>
            <w:vAlign w:val="bottom"/>
            <w:hideMark/>
          </w:tcPr>
          <w:p w14:paraId="73A63D48"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1.0422</w:t>
            </w:r>
          </w:p>
        </w:tc>
        <w:tc>
          <w:tcPr>
            <w:tcW w:w="960" w:type="dxa"/>
            <w:tcBorders>
              <w:top w:val="nil"/>
              <w:left w:val="single" w:sz="4" w:space="0" w:color="auto"/>
              <w:bottom w:val="nil"/>
              <w:right w:val="single" w:sz="4" w:space="0" w:color="auto"/>
            </w:tcBorders>
            <w:shd w:val="clear" w:color="auto" w:fill="auto"/>
            <w:noWrap/>
            <w:vAlign w:val="bottom"/>
            <w:hideMark/>
          </w:tcPr>
          <w:p w14:paraId="4B89F635"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1.0440</w:t>
            </w:r>
          </w:p>
        </w:tc>
        <w:tc>
          <w:tcPr>
            <w:tcW w:w="960" w:type="dxa"/>
            <w:tcBorders>
              <w:top w:val="nil"/>
              <w:left w:val="nil"/>
              <w:bottom w:val="nil"/>
              <w:right w:val="single" w:sz="4" w:space="0" w:color="auto"/>
            </w:tcBorders>
            <w:shd w:val="clear" w:color="auto" w:fill="auto"/>
            <w:noWrap/>
            <w:vAlign w:val="bottom"/>
            <w:hideMark/>
          </w:tcPr>
          <w:p w14:paraId="06B71D42"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1.0880</w:t>
            </w:r>
          </w:p>
        </w:tc>
      </w:tr>
      <w:tr w:rsidR="00A30676" w:rsidRPr="00E622F1" w14:paraId="7099DC51"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666D2DFE"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2002</w:t>
            </w:r>
          </w:p>
        </w:tc>
        <w:tc>
          <w:tcPr>
            <w:tcW w:w="960" w:type="dxa"/>
            <w:tcBorders>
              <w:top w:val="nil"/>
              <w:left w:val="nil"/>
              <w:bottom w:val="nil"/>
              <w:right w:val="nil"/>
            </w:tcBorders>
            <w:shd w:val="clear" w:color="auto" w:fill="auto"/>
            <w:noWrap/>
            <w:vAlign w:val="bottom"/>
            <w:hideMark/>
          </w:tcPr>
          <w:p w14:paraId="058A4909"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0.9776</w:t>
            </w:r>
          </w:p>
        </w:tc>
        <w:tc>
          <w:tcPr>
            <w:tcW w:w="960" w:type="dxa"/>
            <w:tcBorders>
              <w:top w:val="nil"/>
              <w:left w:val="single" w:sz="4" w:space="0" w:color="auto"/>
              <w:bottom w:val="nil"/>
              <w:right w:val="single" w:sz="4" w:space="0" w:color="auto"/>
            </w:tcBorders>
            <w:shd w:val="clear" w:color="auto" w:fill="auto"/>
            <w:noWrap/>
            <w:vAlign w:val="bottom"/>
            <w:hideMark/>
          </w:tcPr>
          <w:p w14:paraId="252096FE"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1.0099</w:t>
            </w:r>
          </w:p>
        </w:tc>
        <w:tc>
          <w:tcPr>
            <w:tcW w:w="960" w:type="dxa"/>
            <w:tcBorders>
              <w:top w:val="nil"/>
              <w:left w:val="nil"/>
              <w:bottom w:val="nil"/>
              <w:right w:val="single" w:sz="4" w:space="0" w:color="auto"/>
            </w:tcBorders>
            <w:shd w:val="clear" w:color="auto" w:fill="auto"/>
            <w:noWrap/>
            <w:vAlign w:val="bottom"/>
            <w:hideMark/>
          </w:tcPr>
          <w:p w14:paraId="6E4D5501"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0.9873</w:t>
            </w:r>
          </w:p>
        </w:tc>
        <w:tc>
          <w:tcPr>
            <w:tcW w:w="960" w:type="dxa"/>
            <w:tcBorders>
              <w:top w:val="nil"/>
              <w:left w:val="nil"/>
              <w:bottom w:val="nil"/>
              <w:right w:val="nil"/>
            </w:tcBorders>
            <w:shd w:val="clear" w:color="auto" w:fill="auto"/>
            <w:noWrap/>
            <w:vAlign w:val="bottom"/>
            <w:hideMark/>
          </w:tcPr>
          <w:p w14:paraId="27C2F330"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1.0188</w:t>
            </w:r>
          </w:p>
        </w:tc>
        <w:tc>
          <w:tcPr>
            <w:tcW w:w="960" w:type="dxa"/>
            <w:tcBorders>
              <w:top w:val="nil"/>
              <w:left w:val="single" w:sz="4" w:space="0" w:color="auto"/>
              <w:bottom w:val="nil"/>
              <w:right w:val="single" w:sz="4" w:space="0" w:color="auto"/>
            </w:tcBorders>
            <w:shd w:val="clear" w:color="auto" w:fill="auto"/>
            <w:noWrap/>
            <w:vAlign w:val="bottom"/>
            <w:hideMark/>
          </w:tcPr>
          <w:p w14:paraId="7CF83A99"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1.0544</w:t>
            </w:r>
          </w:p>
        </w:tc>
        <w:tc>
          <w:tcPr>
            <w:tcW w:w="960" w:type="dxa"/>
            <w:tcBorders>
              <w:top w:val="nil"/>
              <w:left w:val="nil"/>
              <w:bottom w:val="nil"/>
              <w:right w:val="single" w:sz="4" w:space="0" w:color="auto"/>
            </w:tcBorders>
            <w:shd w:val="clear" w:color="auto" w:fill="auto"/>
            <w:noWrap/>
            <w:vAlign w:val="bottom"/>
            <w:hideMark/>
          </w:tcPr>
          <w:p w14:paraId="59ECE855"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1.0742</w:t>
            </w:r>
          </w:p>
        </w:tc>
      </w:tr>
      <w:tr w:rsidR="00A30676" w:rsidRPr="00E622F1" w14:paraId="333FDCEC"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59A60EA7"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2003</w:t>
            </w:r>
          </w:p>
        </w:tc>
        <w:tc>
          <w:tcPr>
            <w:tcW w:w="960" w:type="dxa"/>
            <w:tcBorders>
              <w:top w:val="nil"/>
              <w:left w:val="nil"/>
              <w:bottom w:val="nil"/>
              <w:right w:val="nil"/>
            </w:tcBorders>
            <w:shd w:val="clear" w:color="auto" w:fill="auto"/>
            <w:noWrap/>
            <w:vAlign w:val="bottom"/>
            <w:hideMark/>
          </w:tcPr>
          <w:p w14:paraId="528D06FE"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1.0175</w:t>
            </w:r>
          </w:p>
        </w:tc>
        <w:tc>
          <w:tcPr>
            <w:tcW w:w="960" w:type="dxa"/>
            <w:tcBorders>
              <w:top w:val="nil"/>
              <w:left w:val="single" w:sz="4" w:space="0" w:color="auto"/>
              <w:bottom w:val="nil"/>
              <w:right w:val="single" w:sz="4" w:space="0" w:color="auto"/>
            </w:tcBorders>
            <w:shd w:val="clear" w:color="auto" w:fill="auto"/>
            <w:noWrap/>
            <w:vAlign w:val="bottom"/>
            <w:hideMark/>
          </w:tcPr>
          <w:p w14:paraId="07520E73"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1.0091</w:t>
            </w:r>
          </w:p>
        </w:tc>
        <w:tc>
          <w:tcPr>
            <w:tcW w:w="960" w:type="dxa"/>
            <w:tcBorders>
              <w:top w:val="nil"/>
              <w:left w:val="nil"/>
              <w:bottom w:val="nil"/>
              <w:right w:val="single" w:sz="4" w:space="0" w:color="auto"/>
            </w:tcBorders>
            <w:shd w:val="clear" w:color="auto" w:fill="auto"/>
            <w:noWrap/>
            <w:vAlign w:val="bottom"/>
            <w:hideMark/>
          </w:tcPr>
          <w:p w14:paraId="720112E3"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1.0268</w:t>
            </w:r>
          </w:p>
        </w:tc>
        <w:tc>
          <w:tcPr>
            <w:tcW w:w="960" w:type="dxa"/>
            <w:tcBorders>
              <w:top w:val="nil"/>
              <w:left w:val="nil"/>
              <w:bottom w:val="nil"/>
              <w:right w:val="nil"/>
            </w:tcBorders>
            <w:shd w:val="clear" w:color="auto" w:fill="auto"/>
            <w:noWrap/>
            <w:vAlign w:val="bottom"/>
            <w:hideMark/>
          </w:tcPr>
          <w:p w14:paraId="2E3E88C0"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1.0366</w:t>
            </w:r>
          </w:p>
        </w:tc>
        <w:tc>
          <w:tcPr>
            <w:tcW w:w="960" w:type="dxa"/>
            <w:tcBorders>
              <w:top w:val="nil"/>
              <w:left w:val="single" w:sz="4" w:space="0" w:color="auto"/>
              <w:bottom w:val="nil"/>
              <w:right w:val="single" w:sz="4" w:space="0" w:color="auto"/>
            </w:tcBorders>
            <w:shd w:val="clear" w:color="auto" w:fill="auto"/>
            <w:noWrap/>
            <w:vAlign w:val="bottom"/>
            <w:hideMark/>
          </w:tcPr>
          <w:p w14:paraId="3010F203"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1.0640</w:t>
            </w:r>
          </w:p>
        </w:tc>
        <w:tc>
          <w:tcPr>
            <w:tcW w:w="960" w:type="dxa"/>
            <w:tcBorders>
              <w:top w:val="nil"/>
              <w:left w:val="nil"/>
              <w:bottom w:val="nil"/>
              <w:right w:val="single" w:sz="4" w:space="0" w:color="auto"/>
            </w:tcBorders>
            <w:shd w:val="clear" w:color="auto" w:fill="auto"/>
            <w:noWrap/>
            <w:vAlign w:val="bottom"/>
            <w:hideMark/>
          </w:tcPr>
          <w:p w14:paraId="152122C7"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1.1029</w:t>
            </w:r>
          </w:p>
        </w:tc>
      </w:tr>
      <w:tr w:rsidR="00A30676" w:rsidRPr="00E622F1" w14:paraId="1D766381"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340B1F27"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2004</w:t>
            </w:r>
          </w:p>
        </w:tc>
        <w:tc>
          <w:tcPr>
            <w:tcW w:w="960" w:type="dxa"/>
            <w:tcBorders>
              <w:top w:val="nil"/>
              <w:left w:val="nil"/>
              <w:bottom w:val="nil"/>
              <w:right w:val="nil"/>
            </w:tcBorders>
            <w:shd w:val="clear" w:color="auto" w:fill="auto"/>
            <w:noWrap/>
            <w:vAlign w:val="bottom"/>
            <w:hideMark/>
          </w:tcPr>
          <w:p w14:paraId="29B6F7B5"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0.9844</w:t>
            </w:r>
          </w:p>
        </w:tc>
        <w:tc>
          <w:tcPr>
            <w:tcW w:w="960" w:type="dxa"/>
            <w:tcBorders>
              <w:top w:val="nil"/>
              <w:left w:val="single" w:sz="4" w:space="0" w:color="auto"/>
              <w:bottom w:val="nil"/>
              <w:right w:val="single" w:sz="4" w:space="0" w:color="auto"/>
            </w:tcBorders>
            <w:shd w:val="clear" w:color="auto" w:fill="auto"/>
            <w:noWrap/>
            <w:vAlign w:val="bottom"/>
            <w:hideMark/>
          </w:tcPr>
          <w:p w14:paraId="6B499ABE"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1.0087</w:t>
            </w:r>
          </w:p>
        </w:tc>
        <w:tc>
          <w:tcPr>
            <w:tcW w:w="960" w:type="dxa"/>
            <w:tcBorders>
              <w:top w:val="nil"/>
              <w:left w:val="nil"/>
              <w:bottom w:val="nil"/>
              <w:right w:val="single" w:sz="4" w:space="0" w:color="auto"/>
            </w:tcBorders>
            <w:shd w:val="clear" w:color="auto" w:fill="auto"/>
            <w:noWrap/>
            <w:vAlign w:val="bottom"/>
            <w:hideMark/>
          </w:tcPr>
          <w:p w14:paraId="01C24983"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0.9929</w:t>
            </w:r>
          </w:p>
        </w:tc>
        <w:tc>
          <w:tcPr>
            <w:tcW w:w="960" w:type="dxa"/>
            <w:tcBorders>
              <w:top w:val="nil"/>
              <w:left w:val="nil"/>
              <w:bottom w:val="nil"/>
              <w:right w:val="nil"/>
            </w:tcBorders>
            <w:shd w:val="clear" w:color="auto" w:fill="auto"/>
            <w:noWrap/>
            <w:vAlign w:val="bottom"/>
            <w:hideMark/>
          </w:tcPr>
          <w:p w14:paraId="158ADC04"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1.0204</w:t>
            </w:r>
          </w:p>
        </w:tc>
        <w:tc>
          <w:tcPr>
            <w:tcW w:w="960" w:type="dxa"/>
            <w:tcBorders>
              <w:top w:val="nil"/>
              <w:left w:val="single" w:sz="4" w:space="0" w:color="auto"/>
              <w:bottom w:val="nil"/>
              <w:right w:val="single" w:sz="4" w:space="0" w:color="auto"/>
            </w:tcBorders>
            <w:shd w:val="clear" w:color="auto" w:fill="auto"/>
            <w:noWrap/>
            <w:vAlign w:val="bottom"/>
            <w:hideMark/>
          </w:tcPr>
          <w:p w14:paraId="0B274C7E"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1.0732</w:t>
            </w:r>
          </w:p>
        </w:tc>
        <w:tc>
          <w:tcPr>
            <w:tcW w:w="960" w:type="dxa"/>
            <w:tcBorders>
              <w:top w:val="nil"/>
              <w:left w:val="nil"/>
              <w:bottom w:val="nil"/>
              <w:right w:val="single" w:sz="4" w:space="0" w:color="auto"/>
            </w:tcBorders>
            <w:shd w:val="clear" w:color="auto" w:fill="auto"/>
            <w:noWrap/>
            <w:vAlign w:val="bottom"/>
            <w:hideMark/>
          </w:tcPr>
          <w:p w14:paraId="7DAE2961"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1.0951</w:t>
            </w:r>
          </w:p>
        </w:tc>
      </w:tr>
      <w:tr w:rsidR="00A30676" w:rsidRPr="00E622F1" w14:paraId="5D132FEE"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61D409AD"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2005</w:t>
            </w:r>
          </w:p>
        </w:tc>
        <w:tc>
          <w:tcPr>
            <w:tcW w:w="960" w:type="dxa"/>
            <w:tcBorders>
              <w:top w:val="nil"/>
              <w:left w:val="nil"/>
              <w:bottom w:val="nil"/>
              <w:right w:val="nil"/>
            </w:tcBorders>
            <w:shd w:val="clear" w:color="auto" w:fill="auto"/>
            <w:noWrap/>
            <w:vAlign w:val="bottom"/>
            <w:hideMark/>
          </w:tcPr>
          <w:p w14:paraId="1E842C6F"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1.0301</w:t>
            </w:r>
          </w:p>
        </w:tc>
        <w:tc>
          <w:tcPr>
            <w:tcW w:w="960" w:type="dxa"/>
            <w:tcBorders>
              <w:top w:val="nil"/>
              <w:left w:val="single" w:sz="4" w:space="0" w:color="auto"/>
              <w:bottom w:val="nil"/>
              <w:right w:val="single" w:sz="4" w:space="0" w:color="auto"/>
            </w:tcBorders>
            <w:shd w:val="clear" w:color="auto" w:fill="auto"/>
            <w:noWrap/>
            <w:vAlign w:val="bottom"/>
            <w:hideMark/>
          </w:tcPr>
          <w:p w14:paraId="4FA95818"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1.0082</w:t>
            </w:r>
          </w:p>
        </w:tc>
        <w:tc>
          <w:tcPr>
            <w:tcW w:w="960" w:type="dxa"/>
            <w:tcBorders>
              <w:top w:val="nil"/>
              <w:left w:val="nil"/>
              <w:bottom w:val="nil"/>
              <w:right w:val="single" w:sz="4" w:space="0" w:color="auto"/>
            </w:tcBorders>
            <w:shd w:val="clear" w:color="auto" w:fill="auto"/>
            <w:noWrap/>
            <w:vAlign w:val="bottom"/>
            <w:hideMark/>
          </w:tcPr>
          <w:p w14:paraId="2EA56C48"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1.0385</w:t>
            </w:r>
          </w:p>
        </w:tc>
        <w:tc>
          <w:tcPr>
            <w:tcW w:w="960" w:type="dxa"/>
            <w:tcBorders>
              <w:top w:val="nil"/>
              <w:left w:val="nil"/>
              <w:bottom w:val="nil"/>
              <w:right w:val="nil"/>
            </w:tcBorders>
            <w:shd w:val="clear" w:color="auto" w:fill="auto"/>
            <w:noWrap/>
            <w:vAlign w:val="bottom"/>
            <w:hideMark/>
          </w:tcPr>
          <w:p w14:paraId="1B37DEA6"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1.0511</w:t>
            </w:r>
          </w:p>
        </w:tc>
        <w:tc>
          <w:tcPr>
            <w:tcW w:w="960" w:type="dxa"/>
            <w:tcBorders>
              <w:top w:val="nil"/>
              <w:left w:val="single" w:sz="4" w:space="0" w:color="auto"/>
              <w:bottom w:val="nil"/>
              <w:right w:val="single" w:sz="4" w:space="0" w:color="auto"/>
            </w:tcBorders>
            <w:shd w:val="clear" w:color="auto" w:fill="auto"/>
            <w:noWrap/>
            <w:vAlign w:val="bottom"/>
            <w:hideMark/>
          </w:tcPr>
          <w:p w14:paraId="49654DA3"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1.0820</w:t>
            </w:r>
          </w:p>
        </w:tc>
        <w:tc>
          <w:tcPr>
            <w:tcW w:w="960" w:type="dxa"/>
            <w:tcBorders>
              <w:top w:val="nil"/>
              <w:left w:val="nil"/>
              <w:bottom w:val="nil"/>
              <w:right w:val="single" w:sz="4" w:space="0" w:color="auto"/>
            </w:tcBorders>
            <w:shd w:val="clear" w:color="auto" w:fill="auto"/>
            <w:noWrap/>
            <w:vAlign w:val="bottom"/>
            <w:hideMark/>
          </w:tcPr>
          <w:p w14:paraId="4E603D0E"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1.1373</w:t>
            </w:r>
          </w:p>
        </w:tc>
      </w:tr>
      <w:tr w:rsidR="00A30676" w:rsidRPr="00E622F1" w14:paraId="6E88CFDD"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4422A23D"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2006</w:t>
            </w:r>
          </w:p>
        </w:tc>
        <w:tc>
          <w:tcPr>
            <w:tcW w:w="960" w:type="dxa"/>
            <w:tcBorders>
              <w:top w:val="nil"/>
              <w:left w:val="nil"/>
              <w:bottom w:val="nil"/>
              <w:right w:val="nil"/>
            </w:tcBorders>
            <w:shd w:val="clear" w:color="auto" w:fill="auto"/>
            <w:noWrap/>
            <w:vAlign w:val="bottom"/>
            <w:hideMark/>
          </w:tcPr>
          <w:p w14:paraId="7FB6E3C2"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0.9795</w:t>
            </w:r>
          </w:p>
        </w:tc>
        <w:tc>
          <w:tcPr>
            <w:tcW w:w="960" w:type="dxa"/>
            <w:tcBorders>
              <w:top w:val="nil"/>
              <w:left w:val="single" w:sz="4" w:space="0" w:color="auto"/>
              <w:bottom w:val="nil"/>
              <w:right w:val="single" w:sz="4" w:space="0" w:color="auto"/>
            </w:tcBorders>
            <w:shd w:val="clear" w:color="auto" w:fill="auto"/>
            <w:noWrap/>
            <w:vAlign w:val="bottom"/>
            <w:hideMark/>
          </w:tcPr>
          <w:p w14:paraId="264C955F"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1.0074</w:t>
            </w:r>
          </w:p>
        </w:tc>
        <w:tc>
          <w:tcPr>
            <w:tcW w:w="960" w:type="dxa"/>
            <w:tcBorders>
              <w:top w:val="nil"/>
              <w:left w:val="nil"/>
              <w:bottom w:val="nil"/>
              <w:right w:val="single" w:sz="4" w:space="0" w:color="auto"/>
            </w:tcBorders>
            <w:shd w:val="clear" w:color="auto" w:fill="auto"/>
            <w:noWrap/>
            <w:vAlign w:val="bottom"/>
            <w:hideMark/>
          </w:tcPr>
          <w:p w14:paraId="630B15C8"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0.9868</w:t>
            </w:r>
          </w:p>
        </w:tc>
        <w:tc>
          <w:tcPr>
            <w:tcW w:w="960" w:type="dxa"/>
            <w:tcBorders>
              <w:top w:val="nil"/>
              <w:left w:val="nil"/>
              <w:bottom w:val="nil"/>
              <w:right w:val="nil"/>
            </w:tcBorders>
            <w:shd w:val="clear" w:color="auto" w:fill="auto"/>
            <w:noWrap/>
            <w:vAlign w:val="bottom"/>
            <w:hideMark/>
          </w:tcPr>
          <w:p w14:paraId="3B4F834E"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1.0296</w:t>
            </w:r>
          </w:p>
        </w:tc>
        <w:tc>
          <w:tcPr>
            <w:tcW w:w="960" w:type="dxa"/>
            <w:tcBorders>
              <w:top w:val="nil"/>
              <w:left w:val="single" w:sz="4" w:space="0" w:color="auto"/>
              <w:bottom w:val="nil"/>
              <w:right w:val="single" w:sz="4" w:space="0" w:color="auto"/>
            </w:tcBorders>
            <w:shd w:val="clear" w:color="auto" w:fill="auto"/>
            <w:noWrap/>
            <w:vAlign w:val="bottom"/>
            <w:hideMark/>
          </w:tcPr>
          <w:p w14:paraId="746D2585"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1.0899</w:t>
            </w:r>
          </w:p>
        </w:tc>
        <w:tc>
          <w:tcPr>
            <w:tcW w:w="960" w:type="dxa"/>
            <w:tcBorders>
              <w:top w:val="nil"/>
              <w:left w:val="nil"/>
              <w:bottom w:val="nil"/>
              <w:right w:val="single" w:sz="4" w:space="0" w:color="auto"/>
            </w:tcBorders>
            <w:shd w:val="clear" w:color="auto" w:fill="auto"/>
            <w:noWrap/>
            <w:vAlign w:val="bottom"/>
            <w:hideMark/>
          </w:tcPr>
          <w:p w14:paraId="1A454585"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1.1222</w:t>
            </w:r>
          </w:p>
        </w:tc>
      </w:tr>
      <w:tr w:rsidR="00A30676" w:rsidRPr="00E622F1" w14:paraId="696747F5"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119B353E"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2007</w:t>
            </w:r>
          </w:p>
        </w:tc>
        <w:tc>
          <w:tcPr>
            <w:tcW w:w="960" w:type="dxa"/>
            <w:tcBorders>
              <w:top w:val="nil"/>
              <w:left w:val="nil"/>
              <w:bottom w:val="nil"/>
              <w:right w:val="nil"/>
            </w:tcBorders>
            <w:shd w:val="clear" w:color="auto" w:fill="auto"/>
            <w:noWrap/>
            <w:vAlign w:val="bottom"/>
            <w:hideMark/>
          </w:tcPr>
          <w:p w14:paraId="0A564AFE"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0.9853</w:t>
            </w:r>
          </w:p>
        </w:tc>
        <w:tc>
          <w:tcPr>
            <w:tcW w:w="960" w:type="dxa"/>
            <w:tcBorders>
              <w:top w:val="nil"/>
              <w:left w:val="single" w:sz="4" w:space="0" w:color="auto"/>
              <w:bottom w:val="nil"/>
              <w:right w:val="single" w:sz="4" w:space="0" w:color="auto"/>
            </w:tcBorders>
            <w:shd w:val="clear" w:color="auto" w:fill="auto"/>
            <w:noWrap/>
            <w:vAlign w:val="bottom"/>
            <w:hideMark/>
          </w:tcPr>
          <w:p w14:paraId="2B879FFB"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1.0073</w:t>
            </w:r>
          </w:p>
        </w:tc>
        <w:tc>
          <w:tcPr>
            <w:tcW w:w="960" w:type="dxa"/>
            <w:tcBorders>
              <w:top w:val="nil"/>
              <w:left w:val="nil"/>
              <w:bottom w:val="nil"/>
              <w:right w:val="single" w:sz="4" w:space="0" w:color="auto"/>
            </w:tcBorders>
            <w:shd w:val="clear" w:color="auto" w:fill="auto"/>
            <w:noWrap/>
            <w:vAlign w:val="bottom"/>
            <w:hideMark/>
          </w:tcPr>
          <w:p w14:paraId="0D113262"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0.9925</w:t>
            </w:r>
          </w:p>
        </w:tc>
        <w:tc>
          <w:tcPr>
            <w:tcW w:w="960" w:type="dxa"/>
            <w:tcBorders>
              <w:top w:val="nil"/>
              <w:left w:val="nil"/>
              <w:bottom w:val="nil"/>
              <w:right w:val="nil"/>
            </w:tcBorders>
            <w:shd w:val="clear" w:color="auto" w:fill="auto"/>
            <w:noWrap/>
            <w:vAlign w:val="bottom"/>
            <w:hideMark/>
          </w:tcPr>
          <w:p w14:paraId="67C6970A"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1.0145</w:t>
            </w:r>
          </w:p>
        </w:tc>
        <w:tc>
          <w:tcPr>
            <w:tcW w:w="960" w:type="dxa"/>
            <w:tcBorders>
              <w:top w:val="nil"/>
              <w:left w:val="single" w:sz="4" w:space="0" w:color="auto"/>
              <w:bottom w:val="nil"/>
              <w:right w:val="single" w:sz="4" w:space="0" w:color="auto"/>
            </w:tcBorders>
            <w:shd w:val="clear" w:color="auto" w:fill="auto"/>
            <w:noWrap/>
            <w:vAlign w:val="bottom"/>
            <w:hideMark/>
          </w:tcPr>
          <w:p w14:paraId="489D58BD"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1.0979</w:t>
            </w:r>
          </w:p>
        </w:tc>
        <w:tc>
          <w:tcPr>
            <w:tcW w:w="960" w:type="dxa"/>
            <w:tcBorders>
              <w:top w:val="nil"/>
              <w:left w:val="nil"/>
              <w:bottom w:val="nil"/>
              <w:right w:val="single" w:sz="4" w:space="0" w:color="auto"/>
            </w:tcBorders>
            <w:shd w:val="clear" w:color="auto" w:fill="auto"/>
            <w:noWrap/>
            <w:vAlign w:val="bottom"/>
            <w:hideMark/>
          </w:tcPr>
          <w:p w14:paraId="57621909"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1.1138</w:t>
            </w:r>
          </w:p>
        </w:tc>
      </w:tr>
      <w:tr w:rsidR="00A30676" w:rsidRPr="00E622F1" w14:paraId="21D8F271"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3A406C1A"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2008</w:t>
            </w:r>
          </w:p>
        </w:tc>
        <w:tc>
          <w:tcPr>
            <w:tcW w:w="960" w:type="dxa"/>
            <w:tcBorders>
              <w:top w:val="nil"/>
              <w:left w:val="nil"/>
              <w:bottom w:val="nil"/>
              <w:right w:val="nil"/>
            </w:tcBorders>
            <w:shd w:val="clear" w:color="auto" w:fill="auto"/>
            <w:noWrap/>
            <w:vAlign w:val="bottom"/>
            <w:hideMark/>
          </w:tcPr>
          <w:p w14:paraId="54800313"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0.9774</w:t>
            </w:r>
          </w:p>
        </w:tc>
        <w:tc>
          <w:tcPr>
            <w:tcW w:w="960" w:type="dxa"/>
            <w:tcBorders>
              <w:top w:val="nil"/>
              <w:left w:val="single" w:sz="4" w:space="0" w:color="auto"/>
              <w:bottom w:val="nil"/>
              <w:right w:val="single" w:sz="4" w:space="0" w:color="auto"/>
            </w:tcBorders>
            <w:shd w:val="clear" w:color="auto" w:fill="auto"/>
            <w:noWrap/>
            <w:vAlign w:val="bottom"/>
            <w:hideMark/>
          </w:tcPr>
          <w:p w14:paraId="4E02E3BE"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1.0065</w:t>
            </w:r>
          </w:p>
        </w:tc>
        <w:tc>
          <w:tcPr>
            <w:tcW w:w="960" w:type="dxa"/>
            <w:tcBorders>
              <w:top w:val="nil"/>
              <w:left w:val="nil"/>
              <w:bottom w:val="nil"/>
              <w:right w:val="single" w:sz="4" w:space="0" w:color="auto"/>
            </w:tcBorders>
            <w:shd w:val="clear" w:color="auto" w:fill="auto"/>
            <w:noWrap/>
            <w:vAlign w:val="bottom"/>
            <w:hideMark/>
          </w:tcPr>
          <w:p w14:paraId="5FE7C2D1"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0.9837</w:t>
            </w:r>
          </w:p>
        </w:tc>
        <w:tc>
          <w:tcPr>
            <w:tcW w:w="960" w:type="dxa"/>
            <w:tcBorders>
              <w:top w:val="nil"/>
              <w:left w:val="nil"/>
              <w:bottom w:val="nil"/>
              <w:right w:val="nil"/>
            </w:tcBorders>
            <w:shd w:val="clear" w:color="auto" w:fill="auto"/>
            <w:noWrap/>
            <w:vAlign w:val="bottom"/>
            <w:hideMark/>
          </w:tcPr>
          <w:p w14:paraId="5929C11D"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0.9915</w:t>
            </w:r>
          </w:p>
        </w:tc>
        <w:tc>
          <w:tcPr>
            <w:tcW w:w="960" w:type="dxa"/>
            <w:tcBorders>
              <w:top w:val="nil"/>
              <w:left w:val="single" w:sz="4" w:space="0" w:color="auto"/>
              <w:bottom w:val="nil"/>
              <w:right w:val="single" w:sz="4" w:space="0" w:color="auto"/>
            </w:tcBorders>
            <w:shd w:val="clear" w:color="auto" w:fill="auto"/>
            <w:noWrap/>
            <w:vAlign w:val="bottom"/>
            <w:hideMark/>
          </w:tcPr>
          <w:p w14:paraId="31E252AC"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1.1050</w:t>
            </w:r>
          </w:p>
        </w:tc>
        <w:tc>
          <w:tcPr>
            <w:tcW w:w="960" w:type="dxa"/>
            <w:tcBorders>
              <w:top w:val="nil"/>
              <w:left w:val="nil"/>
              <w:bottom w:val="nil"/>
              <w:right w:val="single" w:sz="4" w:space="0" w:color="auto"/>
            </w:tcBorders>
            <w:shd w:val="clear" w:color="auto" w:fill="auto"/>
            <w:noWrap/>
            <w:vAlign w:val="bottom"/>
            <w:hideMark/>
          </w:tcPr>
          <w:p w14:paraId="528A61DB"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1.0957</w:t>
            </w:r>
          </w:p>
        </w:tc>
      </w:tr>
      <w:tr w:rsidR="00A30676" w:rsidRPr="00E622F1" w14:paraId="601241EA"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1AD99166"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2009</w:t>
            </w:r>
          </w:p>
        </w:tc>
        <w:tc>
          <w:tcPr>
            <w:tcW w:w="960" w:type="dxa"/>
            <w:tcBorders>
              <w:top w:val="nil"/>
              <w:left w:val="nil"/>
              <w:bottom w:val="nil"/>
              <w:right w:val="nil"/>
            </w:tcBorders>
            <w:shd w:val="clear" w:color="auto" w:fill="auto"/>
            <w:noWrap/>
            <w:vAlign w:val="bottom"/>
            <w:hideMark/>
          </w:tcPr>
          <w:p w14:paraId="27ABC04F"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1.0295</w:t>
            </w:r>
          </w:p>
        </w:tc>
        <w:tc>
          <w:tcPr>
            <w:tcW w:w="960" w:type="dxa"/>
            <w:tcBorders>
              <w:top w:val="nil"/>
              <w:left w:val="single" w:sz="4" w:space="0" w:color="auto"/>
              <w:bottom w:val="nil"/>
              <w:right w:val="single" w:sz="4" w:space="0" w:color="auto"/>
            </w:tcBorders>
            <w:shd w:val="clear" w:color="auto" w:fill="auto"/>
            <w:noWrap/>
            <w:vAlign w:val="bottom"/>
            <w:hideMark/>
          </w:tcPr>
          <w:p w14:paraId="02FD70C4"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1.0053</w:t>
            </w:r>
          </w:p>
        </w:tc>
        <w:tc>
          <w:tcPr>
            <w:tcW w:w="960" w:type="dxa"/>
            <w:tcBorders>
              <w:top w:val="nil"/>
              <w:left w:val="nil"/>
              <w:bottom w:val="nil"/>
              <w:right w:val="single" w:sz="4" w:space="0" w:color="auto"/>
            </w:tcBorders>
            <w:shd w:val="clear" w:color="auto" w:fill="auto"/>
            <w:noWrap/>
            <w:vAlign w:val="bottom"/>
            <w:hideMark/>
          </w:tcPr>
          <w:p w14:paraId="4FDBCF6B"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1.0349</w:t>
            </w:r>
          </w:p>
        </w:tc>
        <w:tc>
          <w:tcPr>
            <w:tcW w:w="960" w:type="dxa"/>
            <w:tcBorders>
              <w:top w:val="nil"/>
              <w:left w:val="nil"/>
              <w:bottom w:val="nil"/>
              <w:right w:val="nil"/>
            </w:tcBorders>
            <w:shd w:val="clear" w:color="auto" w:fill="auto"/>
            <w:noWrap/>
            <w:vAlign w:val="bottom"/>
            <w:hideMark/>
          </w:tcPr>
          <w:p w14:paraId="3EB108E6"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1.0207</w:t>
            </w:r>
          </w:p>
        </w:tc>
        <w:tc>
          <w:tcPr>
            <w:tcW w:w="960" w:type="dxa"/>
            <w:tcBorders>
              <w:top w:val="nil"/>
              <w:left w:val="single" w:sz="4" w:space="0" w:color="auto"/>
              <w:bottom w:val="nil"/>
              <w:right w:val="single" w:sz="4" w:space="0" w:color="auto"/>
            </w:tcBorders>
            <w:shd w:val="clear" w:color="auto" w:fill="auto"/>
            <w:noWrap/>
            <w:vAlign w:val="bottom"/>
            <w:hideMark/>
          </w:tcPr>
          <w:p w14:paraId="28AF45E9"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1.1109</w:t>
            </w:r>
          </w:p>
        </w:tc>
        <w:tc>
          <w:tcPr>
            <w:tcW w:w="960" w:type="dxa"/>
            <w:tcBorders>
              <w:top w:val="nil"/>
              <w:left w:val="nil"/>
              <w:bottom w:val="nil"/>
              <w:right w:val="single" w:sz="4" w:space="0" w:color="auto"/>
            </w:tcBorders>
            <w:shd w:val="clear" w:color="auto" w:fill="auto"/>
            <w:noWrap/>
            <w:vAlign w:val="bottom"/>
            <w:hideMark/>
          </w:tcPr>
          <w:p w14:paraId="6719B3C4"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1.1339</w:t>
            </w:r>
          </w:p>
        </w:tc>
      </w:tr>
      <w:tr w:rsidR="00A30676" w:rsidRPr="00E622F1" w14:paraId="73B5DB86"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37779470"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2010</w:t>
            </w:r>
          </w:p>
        </w:tc>
        <w:tc>
          <w:tcPr>
            <w:tcW w:w="960" w:type="dxa"/>
            <w:tcBorders>
              <w:top w:val="nil"/>
              <w:left w:val="nil"/>
              <w:bottom w:val="nil"/>
              <w:right w:val="nil"/>
            </w:tcBorders>
            <w:shd w:val="clear" w:color="auto" w:fill="auto"/>
            <w:noWrap/>
            <w:vAlign w:val="bottom"/>
            <w:hideMark/>
          </w:tcPr>
          <w:p w14:paraId="01864BC8"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1.0148</w:t>
            </w:r>
          </w:p>
        </w:tc>
        <w:tc>
          <w:tcPr>
            <w:tcW w:w="960" w:type="dxa"/>
            <w:tcBorders>
              <w:top w:val="nil"/>
              <w:left w:val="single" w:sz="4" w:space="0" w:color="auto"/>
              <w:bottom w:val="nil"/>
              <w:right w:val="single" w:sz="4" w:space="0" w:color="auto"/>
            </w:tcBorders>
            <w:shd w:val="clear" w:color="auto" w:fill="auto"/>
            <w:noWrap/>
            <w:vAlign w:val="bottom"/>
            <w:hideMark/>
          </w:tcPr>
          <w:p w14:paraId="1815E8E3"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1.0043</w:t>
            </w:r>
          </w:p>
        </w:tc>
        <w:tc>
          <w:tcPr>
            <w:tcW w:w="960" w:type="dxa"/>
            <w:tcBorders>
              <w:top w:val="nil"/>
              <w:left w:val="nil"/>
              <w:bottom w:val="nil"/>
              <w:right w:val="single" w:sz="4" w:space="0" w:color="auto"/>
            </w:tcBorders>
            <w:shd w:val="clear" w:color="auto" w:fill="auto"/>
            <w:noWrap/>
            <w:vAlign w:val="bottom"/>
            <w:hideMark/>
          </w:tcPr>
          <w:p w14:paraId="1B940CE8"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1.0192</w:t>
            </w:r>
          </w:p>
        </w:tc>
        <w:tc>
          <w:tcPr>
            <w:tcW w:w="960" w:type="dxa"/>
            <w:tcBorders>
              <w:top w:val="nil"/>
              <w:left w:val="nil"/>
              <w:bottom w:val="nil"/>
              <w:right w:val="nil"/>
            </w:tcBorders>
            <w:shd w:val="clear" w:color="auto" w:fill="auto"/>
            <w:noWrap/>
            <w:vAlign w:val="bottom"/>
            <w:hideMark/>
          </w:tcPr>
          <w:p w14:paraId="19BFE75A"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1.0359</w:t>
            </w:r>
          </w:p>
        </w:tc>
        <w:tc>
          <w:tcPr>
            <w:tcW w:w="960" w:type="dxa"/>
            <w:tcBorders>
              <w:top w:val="nil"/>
              <w:left w:val="single" w:sz="4" w:space="0" w:color="auto"/>
              <w:bottom w:val="nil"/>
              <w:right w:val="single" w:sz="4" w:space="0" w:color="auto"/>
            </w:tcBorders>
            <w:shd w:val="clear" w:color="auto" w:fill="auto"/>
            <w:noWrap/>
            <w:vAlign w:val="bottom"/>
            <w:hideMark/>
          </w:tcPr>
          <w:p w14:paraId="721B3954"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1.1157</w:t>
            </w:r>
          </w:p>
        </w:tc>
        <w:tc>
          <w:tcPr>
            <w:tcW w:w="960" w:type="dxa"/>
            <w:tcBorders>
              <w:top w:val="nil"/>
              <w:left w:val="nil"/>
              <w:bottom w:val="nil"/>
              <w:right w:val="single" w:sz="4" w:space="0" w:color="auto"/>
            </w:tcBorders>
            <w:shd w:val="clear" w:color="auto" w:fill="auto"/>
            <w:noWrap/>
            <w:vAlign w:val="bottom"/>
            <w:hideMark/>
          </w:tcPr>
          <w:p w14:paraId="1973349B"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1.1557</w:t>
            </w:r>
          </w:p>
        </w:tc>
      </w:tr>
      <w:tr w:rsidR="00A30676" w:rsidRPr="00E622F1" w14:paraId="4172FD8D"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22B38CE2"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2011</w:t>
            </w:r>
          </w:p>
        </w:tc>
        <w:tc>
          <w:tcPr>
            <w:tcW w:w="960" w:type="dxa"/>
            <w:tcBorders>
              <w:top w:val="nil"/>
              <w:left w:val="nil"/>
              <w:bottom w:val="nil"/>
              <w:right w:val="nil"/>
            </w:tcBorders>
            <w:shd w:val="clear" w:color="auto" w:fill="auto"/>
            <w:noWrap/>
            <w:vAlign w:val="bottom"/>
            <w:hideMark/>
          </w:tcPr>
          <w:p w14:paraId="5D306E7A"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1.0211</w:t>
            </w:r>
          </w:p>
        </w:tc>
        <w:tc>
          <w:tcPr>
            <w:tcW w:w="960" w:type="dxa"/>
            <w:tcBorders>
              <w:top w:val="nil"/>
              <w:left w:val="single" w:sz="4" w:space="0" w:color="auto"/>
              <w:bottom w:val="nil"/>
              <w:right w:val="single" w:sz="4" w:space="0" w:color="auto"/>
            </w:tcBorders>
            <w:shd w:val="clear" w:color="auto" w:fill="auto"/>
            <w:noWrap/>
            <w:vAlign w:val="bottom"/>
            <w:hideMark/>
          </w:tcPr>
          <w:p w14:paraId="260B16E3"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1.0037</w:t>
            </w:r>
          </w:p>
        </w:tc>
        <w:tc>
          <w:tcPr>
            <w:tcW w:w="960" w:type="dxa"/>
            <w:tcBorders>
              <w:top w:val="nil"/>
              <w:left w:val="nil"/>
              <w:bottom w:val="nil"/>
              <w:right w:val="single" w:sz="4" w:space="0" w:color="auto"/>
            </w:tcBorders>
            <w:shd w:val="clear" w:color="auto" w:fill="auto"/>
            <w:noWrap/>
            <w:vAlign w:val="bottom"/>
            <w:hideMark/>
          </w:tcPr>
          <w:p w14:paraId="1279D0C5"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1.0249</w:t>
            </w:r>
          </w:p>
        </w:tc>
        <w:tc>
          <w:tcPr>
            <w:tcW w:w="960" w:type="dxa"/>
            <w:tcBorders>
              <w:top w:val="nil"/>
              <w:left w:val="nil"/>
              <w:bottom w:val="nil"/>
              <w:right w:val="nil"/>
            </w:tcBorders>
            <w:shd w:val="clear" w:color="auto" w:fill="auto"/>
            <w:noWrap/>
            <w:vAlign w:val="bottom"/>
            <w:hideMark/>
          </w:tcPr>
          <w:p w14:paraId="664AC1EC"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1.0577</w:t>
            </w:r>
          </w:p>
        </w:tc>
        <w:tc>
          <w:tcPr>
            <w:tcW w:w="960" w:type="dxa"/>
            <w:tcBorders>
              <w:top w:val="nil"/>
              <w:left w:val="single" w:sz="4" w:space="0" w:color="auto"/>
              <w:bottom w:val="nil"/>
              <w:right w:val="single" w:sz="4" w:space="0" w:color="auto"/>
            </w:tcBorders>
            <w:shd w:val="clear" w:color="auto" w:fill="auto"/>
            <w:noWrap/>
            <w:vAlign w:val="bottom"/>
            <w:hideMark/>
          </w:tcPr>
          <w:p w14:paraId="5CFE68F4"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1.1198</w:t>
            </w:r>
          </w:p>
        </w:tc>
        <w:tc>
          <w:tcPr>
            <w:tcW w:w="960" w:type="dxa"/>
            <w:tcBorders>
              <w:top w:val="nil"/>
              <w:left w:val="nil"/>
              <w:bottom w:val="nil"/>
              <w:right w:val="single" w:sz="4" w:space="0" w:color="auto"/>
            </w:tcBorders>
            <w:shd w:val="clear" w:color="auto" w:fill="auto"/>
            <w:noWrap/>
            <w:vAlign w:val="bottom"/>
            <w:hideMark/>
          </w:tcPr>
          <w:p w14:paraId="270D39E6"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1.1844</w:t>
            </w:r>
          </w:p>
        </w:tc>
      </w:tr>
      <w:tr w:rsidR="00A30676" w:rsidRPr="00E622F1" w14:paraId="2D16B8DB"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7375F19F"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2012</w:t>
            </w:r>
          </w:p>
        </w:tc>
        <w:tc>
          <w:tcPr>
            <w:tcW w:w="960" w:type="dxa"/>
            <w:tcBorders>
              <w:top w:val="nil"/>
              <w:left w:val="nil"/>
              <w:bottom w:val="nil"/>
              <w:right w:val="nil"/>
            </w:tcBorders>
            <w:shd w:val="clear" w:color="auto" w:fill="auto"/>
            <w:noWrap/>
            <w:vAlign w:val="bottom"/>
            <w:hideMark/>
          </w:tcPr>
          <w:p w14:paraId="0EC35414"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0.9969</w:t>
            </w:r>
          </w:p>
        </w:tc>
        <w:tc>
          <w:tcPr>
            <w:tcW w:w="960" w:type="dxa"/>
            <w:tcBorders>
              <w:top w:val="nil"/>
              <w:left w:val="single" w:sz="4" w:space="0" w:color="auto"/>
              <w:bottom w:val="nil"/>
              <w:right w:val="single" w:sz="4" w:space="0" w:color="auto"/>
            </w:tcBorders>
            <w:shd w:val="clear" w:color="auto" w:fill="auto"/>
            <w:noWrap/>
            <w:vAlign w:val="bottom"/>
            <w:hideMark/>
          </w:tcPr>
          <w:p w14:paraId="767D4BB8"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1.0032</w:t>
            </w:r>
          </w:p>
        </w:tc>
        <w:tc>
          <w:tcPr>
            <w:tcW w:w="960" w:type="dxa"/>
            <w:tcBorders>
              <w:top w:val="nil"/>
              <w:left w:val="nil"/>
              <w:bottom w:val="nil"/>
              <w:right w:val="single" w:sz="4" w:space="0" w:color="auto"/>
            </w:tcBorders>
            <w:shd w:val="clear" w:color="auto" w:fill="auto"/>
            <w:noWrap/>
            <w:vAlign w:val="bottom"/>
            <w:hideMark/>
          </w:tcPr>
          <w:p w14:paraId="3FCEC47C"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1.0002</w:t>
            </w:r>
          </w:p>
        </w:tc>
        <w:tc>
          <w:tcPr>
            <w:tcW w:w="960" w:type="dxa"/>
            <w:tcBorders>
              <w:top w:val="nil"/>
              <w:left w:val="nil"/>
              <w:bottom w:val="nil"/>
              <w:right w:val="nil"/>
            </w:tcBorders>
            <w:shd w:val="clear" w:color="auto" w:fill="auto"/>
            <w:noWrap/>
            <w:vAlign w:val="bottom"/>
            <w:hideMark/>
          </w:tcPr>
          <w:p w14:paraId="7A549F96"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1.0545</w:t>
            </w:r>
          </w:p>
        </w:tc>
        <w:tc>
          <w:tcPr>
            <w:tcW w:w="960" w:type="dxa"/>
            <w:tcBorders>
              <w:top w:val="nil"/>
              <w:left w:val="single" w:sz="4" w:space="0" w:color="auto"/>
              <w:bottom w:val="nil"/>
              <w:right w:val="single" w:sz="4" w:space="0" w:color="auto"/>
            </w:tcBorders>
            <w:shd w:val="clear" w:color="auto" w:fill="auto"/>
            <w:noWrap/>
            <w:vAlign w:val="bottom"/>
            <w:hideMark/>
          </w:tcPr>
          <w:p w14:paraId="1B7B35D4"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1.1234</w:t>
            </w:r>
          </w:p>
        </w:tc>
        <w:tc>
          <w:tcPr>
            <w:tcW w:w="960" w:type="dxa"/>
            <w:tcBorders>
              <w:top w:val="nil"/>
              <w:left w:val="nil"/>
              <w:bottom w:val="nil"/>
              <w:right w:val="single" w:sz="4" w:space="0" w:color="auto"/>
            </w:tcBorders>
            <w:shd w:val="clear" w:color="auto" w:fill="auto"/>
            <w:noWrap/>
            <w:vAlign w:val="bottom"/>
            <w:hideMark/>
          </w:tcPr>
          <w:p w14:paraId="60CCD510"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1.1846</w:t>
            </w:r>
          </w:p>
        </w:tc>
      </w:tr>
      <w:tr w:rsidR="00A30676" w:rsidRPr="00E622F1" w14:paraId="1F5E100B"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5BBE6E91"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2013</w:t>
            </w:r>
          </w:p>
        </w:tc>
        <w:tc>
          <w:tcPr>
            <w:tcW w:w="960" w:type="dxa"/>
            <w:tcBorders>
              <w:top w:val="nil"/>
              <w:left w:val="nil"/>
              <w:bottom w:val="nil"/>
              <w:right w:val="nil"/>
            </w:tcBorders>
            <w:shd w:val="clear" w:color="auto" w:fill="auto"/>
            <w:noWrap/>
            <w:vAlign w:val="bottom"/>
            <w:hideMark/>
          </w:tcPr>
          <w:p w14:paraId="33A495AE"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0.9857</w:t>
            </w:r>
          </w:p>
        </w:tc>
        <w:tc>
          <w:tcPr>
            <w:tcW w:w="960" w:type="dxa"/>
            <w:tcBorders>
              <w:top w:val="nil"/>
              <w:left w:val="single" w:sz="4" w:space="0" w:color="auto"/>
              <w:bottom w:val="nil"/>
              <w:right w:val="single" w:sz="4" w:space="0" w:color="auto"/>
            </w:tcBorders>
            <w:shd w:val="clear" w:color="auto" w:fill="auto"/>
            <w:noWrap/>
            <w:vAlign w:val="bottom"/>
            <w:hideMark/>
          </w:tcPr>
          <w:p w14:paraId="4C0F085B"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1.0028</w:t>
            </w:r>
          </w:p>
        </w:tc>
        <w:tc>
          <w:tcPr>
            <w:tcW w:w="960" w:type="dxa"/>
            <w:tcBorders>
              <w:top w:val="nil"/>
              <w:left w:val="nil"/>
              <w:bottom w:val="nil"/>
              <w:right w:val="single" w:sz="4" w:space="0" w:color="auto"/>
            </w:tcBorders>
            <w:shd w:val="clear" w:color="auto" w:fill="auto"/>
            <w:noWrap/>
            <w:vAlign w:val="bottom"/>
            <w:hideMark/>
          </w:tcPr>
          <w:p w14:paraId="77C06438"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0.9884</w:t>
            </w:r>
          </w:p>
        </w:tc>
        <w:tc>
          <w:tcPr>
            <w:tcW w:w="960" w:type="dxa"/>
            <w:tcBorders>
              <w:top w:val="nil"/>
              <w:left w:val="nil"/>
              <w:bottom w:val="nil"/>
              <w:right w:val="nil"/>
            </w:tcBorders>
            <w:shd w:val="clear" w:color="auto" w:fill="auto"/>
            <w:noWrap/>
            <w:vAlign w:val="bottom"/>
            <w:hideMark/>
          </w:tcPr>
          <w:p w14:paraId="2AD1BE64"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1.0394</w:t>
            </w:r>
          </w:p>
        </w:tc>
        <w:tc>
          <w:tcPr>
            <w:tcW w:w="960" w:type="dxa"/>
            <w:tcBorders>
              <w:top w:val="nil"/>
              <w:left w:val="single" w:sz="4" w:space="0" w:color="auto"/>
              <w:bottom w:val="nil"/>
              <w:right w:val="single" w:sz="4" w:space="0" w:color="auto"/>
            </w:tcBorders>
            <w:shd w:val="clear" w:color="auto" w:fill="auto"/>
            <w:noWrap/>
            <w:vAlign w:val="bottom"/>
            <w:hideMark/>
          </w:tcPr>
          <w:p w14:paraId="4B81DA85"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1.1265</w:t>
            </w:r>
          </w:p>
        </w:tc>
        <w:tc>
          <w:tcPr>
            <w:tcW w:w="960" w:type="dxa"/>
            <w:tcBorders>
              <w:top w:val="nil"/>
              <w:left w:val="nil"/>
              <w:bottom w:val="nil"/>
              <w:right w:val="single" w:sz="4" w:space="0" w:color="auto"/>
            </w:tcBorders>
            <w:shd w:val="clear" w:color="auto" w:fill="auto"/>
            <w:noWrap/>
            <w:vAlign w:val="bottom"/>
            <w:hideMark/>
          </w:tcPr>
          <w:p w14:paraId="4FA8F223"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1.1709</w:t>
            </w:r>
          </w:p>
        </w:tc>
      </w:tr>
      <w:tr w:rsidR="00A30676" w:rsidRPr="00E622F1" w14:paraId="7968063E"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769A3BFA"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2014</w:t>
            </w:r>
          </w:p>
        </w:tc>
        <w:tc>
          <w:tcPr>
            <w:tcW w:w="960" w:type="dxa"/>
            <w:tcBorders>
              <w:top w:val="nil"/>
              <w:left w:val="nil"/>
              <w:bottom w:val="nil"/>
              <w:right w:val="nil"/>
            </w:tcBorders>
            <w:shd w:val="clear" w:color="auto" w:fill="auto"/>
            <w:noWrap/>
            <w:vAlign w:val="bottom"/>
            <w:hideMark/>
          </w:tcPr>
          <w:p w14:paraId="15FBD8B0"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0.9920</w:t>
            </w:r>
          </w:p>
        </w:tc>
        <w:tc>
          <w:tcPr>
            <w:tcW w:w="960" w:type="dxa"/>
            <w:tcBorders>
              <w:top w:val="nil"/>
              <w:left w:val="single" w:sz="4" w:space="0" w:color="auto"/>
              <w:bottom w:val="nil"/>
              <w:right w:val="single" w:sz="4" w:space="0" w:color="auto"/>
            </w:tcBorders>
            <w:shd w:val="clear" w:color="auto" w:fill="auto"/>
            <w:noWrap/>
            <w:vAlign w:val="bottom"/>
            <w:hideMark/>
          </w:tcPr>
          <w:p w14:paraId="79B49CF1"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1.0022</w:t>
            </w:r>
          </w:p>
        </w:tc>
        <w:tc>
          <w:tcPr>
            <w:tcW w:w="960" w:type="dxa"/>
            <w:tcBorders>
              <w:top w:val="nil"/>
              <w:left w:val="nil"/>
              <w:bottom w:val="nil"/>
              <w:right w:val="single" w:sz="4" w:space="0" w:color="auto"/>
            </w:tcBorders>
            <w:shd w:val="clear" w:color="auto" w:fill="auto"/>
            <w:noWrap/>
            <w:vAlign w:val="bottom"/>
            <w:hideMark/>
          </w:tcPr>
          <w:p w14:paraId="20F5D4EB"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0.9943</w:t>
            </w:r>
          </w:p>
        </w:tc>
        <w:tc>
          <w:tcPr>
            <w:tcW w:w="960" w:type="dxa"/>
            <w:tcBorders>
              <w:top w:val="nil"/>
              <w:left w:val="nil"/>
              <w:bottom w:val="nil"/>
              <w:right w:val="nil"/>
            </w:tcBorders>
            <w:shd w:val="clear" w:color="auto" w:fill="auto"/>
            <w:noWrap/>
            <w:vAlign w:val="bottom"/>
            <w:hideMark/>
          </w:tcPr>
          <w:p w14:paraId="11F60F85"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1.0311</w:t>
            </w:r>
          </w:p>
        </w:tc>
        <w:tc>
          <w:tcPr>
            <w:tcW w:w="960" w:type="dxa"/>
            <w:tcBorders>
              <w:top w:val="nil"/>
              <w:left w:val="single" w:sz="4" w:space="0" w:color="auto"/>
              <w:bottom w:val="nil"/>
              <w:right w:val="single" w:sz="4" w:space="0" w:color="auto"/>
            </w:tcBorders>
            <w:shd w:val="clear" w:color="auto" w:fill="auto"/>
            <w:noWrap/>
            <w:vAlign w:val="bottom"/>
            <w:hideMark/>
          </w:tcPr>
          <w:p w14:paraId="27BE141F"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1.1291</w:t>
            </w:r>
          </w:p>
        </w:tc>
        <w:tc>
          <w:tcPr>
            <w:tcW w:w="960" w:type="dxa"/>
            <w:tcBorders>
              <w:top w:val="nil"/>
              <w:left w:val="nil"/>
              <w:bottom w:val="nil"/>
              <w:right w:val="single" w:sz="4" w:space="0" w:color="auto"/>
            </w:tcBorders>
            <w:shd w:val="clear" w:color="auto" w:fill="auto"/>
            <w:noWrap/>
            <w:vAlign w:val="bottom"/>
            <w:hideMark/>
          </w:tcPr>
          <w:p w14:paraId="4216A295"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1.1642</w:t>
            </w:r>
          </w:p>
        </w:tc>
      </w:tr>
      <w:tr w:rsidR="00A30676" w:rsidRPr="00E622F1" w14:paraId="27252233"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26C469BE"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2015</w:t>
            </w:r>
          </w:p>
        </w:tc>
        <w:tc>
          <w:tcPr>
            <w:tcW w:w="960" w:type="dxa"/>
            <w:tcBorders>
              <w:top w:val="nil"/>
              <w:left w:val="nil"/>
              <w:bottom w:val="nil"/>
              <w:right w:val="nil"/>
            </w:tcBorders>
            <w:shd w:val="clear" w:color="auto" w:fill="auto"/>
            <w:noWrap/>
            <w:vAlign w:val="bottom"/>
            <w:hideMark/>
          </w:tcPr>
          <w:p w14:paraId="5819632E"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0.9773</w:t>
            </w:r>
          </w:p>
        </w:tc>
        <w:tc>
          <w:tcPr>
            <w:tcW w:w="960" w:type="dxa"/>
            <w:tcBorders>
              <w:top w:val="nil"/>
              <w:left w:val="single" w:sz="4" w:space="0" w:color="auto"/>
              <w:bottom w:val="nil"/>
              <w:right w:val="single" w:sz="4" w:space="0" w:color="auto"/>
            </w:tcBorders>
            <w:shd w:val="clear" w:color="auto" w:fill="auto"/>
            <w:noWrap/>
            <w:vAlign w:val="bottom"/>
            <w:hideMark/>
          </w:tcPr>
          <w:p w14:paraId="60FECEA6"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1.0020</w:t>
            </w:r>
          </w:p>
        </w:tc>
        <w:tc>
          <w:tcPr>
            <w:tcW w:w="960" w:type="dxa"/>
            <w:tcBorders>
              <w:top w:val="nil"/>
              <w:left w:val="nil"/>
              <w:bottom w:val="nil"/>
              <w:right w:val="single" w:sz="4" w:space="0" w:color="auto"/>
            </w:tcBorders>
            <w:shd w:val="clear" w:color="auto" w:fill="auto"/>
            <w:noWrap/>
            <w:vAlign w:val="bottom"/>
            <w:hideMark/>
          </w:tcPr>
          <w:p w14:paraId="2A4AA892"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0.9793</w:t>
            </w:r>
          </w:p>
        </w:tc>
        <w:tc>
          <w:tcPr>
            <w:tcW w:w="960" w:type="dxa"/>
            <w:tcBorders>
              <w:top w:val="nil"/>
              <w:left w:val="nil"/>
              <w:bottom w:val="nil"/>
              <w:right w:val="nil"/>
            </w:tcBorders>
            <w:shd w:val="clear" w:color="auto" w:fill="auto"/>
            <w:noWrap/>
            <w:vAlign w:val="bottom"/>
            <w:hideMark/>
          </w:tcPr>
          <w:p w14:paraId="0D31C2F5"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1.0077</w:t>
            </w:r>
          </w:p>
        </w:tc>
        <w:tc>
          <w:tcPr>
            <w:tcW w:w="960" w:type="dxa"/>
            <w:tcBorders>
              <w:top w:val="nil"/>
              <w:left w:val="single" w:sz="4" w:space="0" w:color="auto"/>
              <w:bottom w:val="nil"/>
              <w:right w:val="single" w:sz="4" w:space="0" w:color="auto"/>
            </w:tcBorders>
            <w:shd w:val="clear" w:color="auto" w:fill="auto"/>
            <w:noWrap/>
            <w:vAlign w:val="bottom"/>
            <w:hideMark/>
          </w:tcPr>
          <w:p w14:paraId="4910E348"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1.1313</w:t>
            </w:r>
          </w:p>
        </w:tc>
        <w:tc>
          <w:tcPr>
            <w:tcW w:w="960" w:type="dxa"/>
            <w:tcBorders>
              <w:top w:val="nil"/>
              <w:left w:val="nil"/>
              <w:bottom w:val="nil"/>
              <w:right w:val="single" w:sz="4" w:space="0" w:color="auto"/>
            </w:tcBorders>
            <w:shd w:val="clear" w:color="auto" w:fill="auto"/>
            <w:noWrap/>
            <w:vAlign w:val="bottom"/>
            <w:hideMark/>
          </w:tcPr>
          <w:p w14:paraId="27EC166D"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1.1400</w:t>
            </w:r>
          </w:p>
        </w:tc>
      </w:tr>
      <w:tr w:rsidR="00A30676" w:rsidRPr="00E622F1" w14:paraId="0D85E0EE" w14:textId="77777777" w:rsidTr="003D0E85">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569DC6C2"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7DDEDE35"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c>
          <w:tcPr>
            <w:tcW w:w="960" w:type="dxa"/>
            <w:tcBorders>
              <w:top w:val="nil"/>
              <w:left w:val="single" w:sz="4" w:space="0" w:color="auto"/>
              <w:bottom w:val="nil"/>
              <w:right w:val="single" w:sz="4" w:space="0" w:color="auto"/>
            </w:tcBorders>
            <w:shd w:val="clear" w:color="auto" w:fill="auto"/>
            <w:noWrap/>
            <w:vAlign w:val="bottom"/>
            <w:hideMark/>
          </w:tcPr>
          <w:p w14:paraId="69FFA05F"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14:paraId="0EB845F0"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4E5FD178"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c>
          <w:tcPr>
            <w:tcW w:w="960" w:type="dxa"/>
            <w:tcBorders>
              <w:top w:val="nil"/>
              <w:left w:val="single" w:sz="4" w:space="0" w:color="auto"/>
              <w:bottom w:val="nil"/>
              <w:right w:val="single" w:sz="4" w:space="0" w:color="auto"/>
            </w:tcBorders>
            <w:shd w:val="clear" w:color="auto" w:fill="auto"/>
            <w:noWrap/>
            <w:vAlign w:val="bottom"/>
            <w:hideMark/>
          </w:tcPr>
          <w:p w14:paraId="4CF3B4CC"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14:paraId="3C6BC589"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r>
      <w:tr w:rsidR="00A30676" w:rsidRPr="00E622F1" w14:paraId="3DE07073" w14:textId="77777777" w:rsidTr="003D0E85">
        <w:trPr>
          <w:trHeight w:val="288"/>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6412BADD"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Annual Mean</w:t>
            </w:r>
          </w:p>
        </w:tc>
        <w:tc>
          <w:tcPr>
            <w:tcW w:w="960" w:type="dxa"/>
            <w:tcBorders>
              <w:top w:val="single" w:sz="4" w:space="0" w:color="auto"/>
              <w:left w:val="nil"/>
              <w:bottom w:val="nil"/>
              <w:right w:val="nil"/>
            </w:tcBorders>
            <w:shd w:val="clear" w:color="auto" w:fill="auto"/>
            <w:noWrap/>
            <w:vAlign w:val="bottom"/>
            <w:hideMark/>
          </w:tcPr>
          <w:p w14:paraId="3D97972A"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1.0004</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7B8EE8CA"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1.0069</w:t>
            </w:r>
          </w:p>
        </w:tc>
        <w:tc>
          <w:tcPr>
            <w:tcW w:w="960" w:type="dxa"/>
            <w:tcBorders>
              <w:top w:val="single" w:sz="4" w:space="0" w:color="auto"/>
              <w:left w:val="nil"/>
              <w:bottom w:val="nil"/>
              <w:right w:val="single" w:sz="4" w:space="0" w:color="auto"/>
            </w:tcBorders>
            <w:shd w:val="clear" w:color="auto" w:fill="auto"/>
            <w:noWrap/>
            <w:vAlign w:val="bottom"/>
            <w:hideMark/>
          </w:tcPr>
          <w:p w14:paraId="348598FA"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1.0073</w:t>
            </w:r>
          </w:p>
        </w:tc>
        <w:tc>
          <w:tcPr>
            <w:tcW w:w="960" w:type="dxa"/>
            <w:tcBorders>
              <w:top w:val="single" w:sz="4" w:space="0" w:color="auto"/>
              <w:left w:val="nil"/>
              <w:bottom w:val="nil"/>
              <w:right w:val="nil"/>
            </w:tcBorders>
            <w:shd w:val="clear" w:color="auto" w:fill="auto"/>
            <w:noWrap/>
            <w:vAlign w:val="bottom"/>
            <w:hideMark/>
          </w:tcPr>
          <w:p w14:paraId="044A7196"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36F434E6"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14:paraId="519E383E"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r>
      <w:tr w:rsidR="00A30676" w:rsidRPr="00E622F1" w14:paraId="1EC9B90F" w14:textId="77777777" w:rsidTr="003D0E8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646C205"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Cumulative Change</w:t>
            </w:r>
          </w:p>
        </w:tc>
        <w:tc>
          <w:tcPr>
            <w:tcW w:w="960" w:type="dxa"/>
            <w:tcBorders>
              <w:top w:val="nil"/>
              <w:left w:val="nil"/>
              <w:bottom w:val="single" w:sz="4" w:space="0" w:color="auto"/>
              <w:right w:val="nil"/>
            </w:tcBorders>
            <w:shd w:val="clear" w:color="auto" w:fill="auto"/>
            <w:noWrap/>
            <w:vAlign w:val="bottom"/>
            <w:hideMark/>
          </w:tcPr>
          <w:p w14:paraId="438E1647"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F9812D"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ADD7DF4" w14:textId="77777777" w:rsidR="00A30676" w:rsidRPr="00E622F1" w:rsidRDefault="00A30676" w:rsidP="003D0E85">
            <w:pPr>
              <w:spacing w:after="0" w:line="240" w:lineRule="auto"/>
              <w:rPr>
                <w:rFonts w:ascii="Calibri" w:eastAsia="Times New Roman" w:hAnsi="Calibri" w:cs="Calibri"/>
                <w:color w:val="000000"/>
                <w:lang w:eastAsia="en-GB"/>
              </w:rPr>
            </w:pPr>
            <w:r w:rsidRPr="00E622F1">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2E35D4FB"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1.0077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3864C4"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1.1313</w:t>
            </w:r>
          </w:p>
        </w:tc>
        <w:tc>
          <w:tcPr>
            <w:tcW w:w="960" w:type="dxa"/>
            <w:tcBorders>
              <w:top w:val="nil"/>
              <w:left w:val="nil"/>
              <w:bottom w:val="single" w:sz="4" w:space="0" w:color="auto"/>
              <w:right w:val="single" w:sz="4" w:space="0" w:color="auto"/>
            </w:tcBorders>
            <w:shd w:val="clear" w:color="auto" w:fill="auto"/>
            <w:noWrap/>
            <w:vAlign w:val="bottom"/>
            <w:hideMark/>
          </w:tcPr>
          <w:p w14:paraId="287EAD43" w14:textId="77777777" w:rsidR="00A30676" w:rsidRPr="00E622F1" w:rsidRDefault="00A30676" w:rsidP="003D0E85">
            <w:pPr>
              <w:spacing w:after="0" w:line="240" w:lineRule="auto"/>
              <w:jc w:val="right"/>
              <w:rPr>
                <w:rFonts w:ascii="Calibri" w:eastAsia="Times New Roman" w:hAnsi="Calibri" w:cs="Calibri"/>
                <w:color w:val="000000"/>
                <w:lang w:eastAsia="en-GB"/>
              </w:rPr>
            </w:pPr>
            <w:r w:rsidRPr="00E622F1">
              <w:rPr>
                <w:rFonts w:ascii="Calibri" w:eastAsia="Times New Roman" w:hAnsi="Calibri" w:cs="Calibri"/>
                <w:color w:val="000000"/>
                <w:lang w:eastAsia="en-GB"/>
              </w:rPr>
              <w:t>1.1400</w:t>
            </w:r>
          </w:p>
        </w:tc>
      </w:tr>
    </w:tbl>
    <w:p w14:paraId="3BCD467F" w14:textId="77777777" w:rsidR="00A30676" w:rsidRDefault="00A30676" w:rsidP="00A30676"/>
    <w:p w14:paraId="4D164C01" w14:textId="089FF0B7" w:rsidR="00A30676" w:rsidRDefault="00A30676" w:rsidP="00A30676">
      <w:r>
        <w:t xml:space="preserve">Whilst in direction the results are broadly comparable with the DEA generated figures, the first point </w:t>
      </w:r>
      <w:r w:rsidR="00961874">
        <w:t>of difference</w:t>
      </w:r>
      <w:r>
        <w:t xml:space="preserve"> is that the COLS </w:t>
      </w:r>
      <w:r w:rsidR="003D0E85">
        <w:t>estimates are</w:t>
      </w:r>
      <w:r>
        <w:t xml:space="preserve"> considerably under th</w:t>
      </w:r>
      <w:r w:rsidR="003D0E85">
        <w:t>ose based on D</w:t>
      </w:r>
      <w:r>
        <w:t>EA, and the cumulative effect of this across the whole time period is significant.  Reasons for this are unclear, but</w:t>
      </w:r>
      <w:r w:rsidR="003D6DB2">
        <w:t xml:space="preserve"> some </w:t>
      </w:r>
      <w:r w:rsidR="00AF27A6">
        <w:t>issues</w:t>
      </w:r>
      <w:r w:rsidR="003D6DB2">
        <w:t xml:space="preserve"> are discussed below.</w:t>
      </w:r>
      <w:r w:rsidR="003D6DB2">
        <w:rPr>
          <w:rStyle w:val="CommentReference"/>
        </w:rPr>
        <w:t xml:space="preserve"> </w:t>
      </w:r>
      <w:r>
        <w:t xml:space="preserve">  </w:t>
      </w:r>
      <w:r w:rsidR="00AF27A6">
        <w:t xml:space="preserve">The results nevertheless broadly confirm the DEA based findings with respect to </w:t>
      </w:r>
      <w:r w:rsidR="00AE2AA7">
        <w:t xml:space="preserve">higher </w:t>
      </w:r>
      <w:r w:rsidR="00AF27A6">
        <w:t>productivity gains made through both technical progress and efficiency change in the immediate post BR era</w:t>
      </w:r>
      <w:r w:rsidR="00961874">
        <w:t xml:space="preserve">, and </w:t>
      </w:r>
      <w:r w:rsidR="00AE2AA7">
        <w:t xml:space="preserve">more generally larger productivity gains across the whole </w:t>
      </w:r>
      <w:r w:rsidR="00961874">
        <w:t>first half of the period</w:t>
      </w:r>
      <w:r w:rsidR="00204141">
        <w:t xml:space="preserve">.  The cumulative effect of this is found to be </w:t>
      </w:r>
      <w:r w:rsidR="00AF27A6">
        <w:t>just over 13% to 2009</w:t>
      </w:r>
      <w:r w:rsidR="00204141">
        <w:t>, however unlike the DEA estimates, m</w:t>
      </w:r>
      <w:r w:rsidR="00961874">
        <w:t>ost of this</w:t>
      </w:r>
      <w:r w:rsidR="00AE2AA7">
        <w:t xml:space="preserve"> increase</w:t>
      </w:r>
      <w:r w:rsidR="00961874">
        <w:t xml:space="preserve"> is estimated to have arisen out of TC (11%), with only 2% coming from efficiency change.  A</w:t>
      </w:r>
      <w:r>
        <w:t xml:space="preserve"> </w:t>
      </w:r>
      <w:r w:rsidR="00961874">
        <w:t>third</w:t>
      </w:r>
      <w:r>
        <w:t xml:space="preserve"> difference from the DEA results</w:t>
      </w:r>
      <w:r w:rsidR="00961874">
        <w:t xml:space="preserve"> </w:t>
      </w:r>
      <w:r>
        <w:t xml:space="preserve">is that the pattern of technical change is </w:t>
      </w:r>
      <w:r w:rsidR="00595A99">
        <w:t xml:space="preserve">found to be </w:t>
      </w:r>
      <w:r>
        <w:t xml:space="preserve">far more consistent, and this is shown in figure </w:t>
      </w:r>
      <w:r w:rsidR="003D0E85">
        <w:t>3</w:t>
      </w:r>
      <w:r>
        <w:t>.</w:t>
      </w:r>
    </w:p>
    <w:p w14:paraId="5AAA6FA5" w14:textId="77777777" w:rsidR="00AF27A6" w:rsidRDefault="00AF27A6" w:rsidP="00A30676">
      <w:r>
        <w:br/>
      </w:r>
    </w:p>
    <w:p w14:paraId="630DB9CE" w14:textId="77777777" w:rsidR="00AF27A6" w:rsidRDefault="00AF27A6">
      <w:r>
        <w:br w:type="page"/>
      </w:r>
    </w:p>
    <w:p w14:paraId="6B6EA258" w14:textId="5789F876" w:rsidR="00A30676" w:rsidRDefault="00A30676" w:rsidP="00A30676">
      <w:r>
        <w:t xml:space="preserve">Figure </w:t>
      </w:r>
      <w:r w:rsidR="003D0E85">
        <w:t>3</w:t>
      </w:r>
      <w:r>
        <w:t xml:space="preserve"> – British Passenger Rail Productivity, TFP, EC, TC, 1998 to 2015, Stochastic Frontier Based Estimates</w:t>
      </w:r>
    </w:p>
    <w:p w14:paraId="0E56FDF6" w14:textId="77777777" w:rsidR="00A30676" w:rsidRDefault="00A30676" w:rsidP="00A30676">
      <w:pPr>
        <w:jc w:val="center"/>
      </w:pPr>
      <w:r>
        <w:rPr>
          <w:noProof/>
          <w:lang w:eastAsia="en-GB"/>
        </w:rPr>
        <w:drawing>
          <wp:inline distT="0" distB="0" distL="0" distR="0" wp14:anchorId="33880481" wp14:editId="0421A8A0">
            <wp:extent cx="3762375" cy="2636520"/>
            <wp:effectExtent l="0" t="0" r="9525" b="11430"/>
            <wp:docPr id="2" name="Chart 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5C2AB3" w14:textId="55640985" w:rsidR="005814D7" w:rsidRDefault="00961874" w:rsidP="00A30676">
      <w:r>
        <w:t xml:space="preserve">What </w:t>
      </w:r>
      <w:r w:rsidR="00A30676">
        <w:t>Figure 3 show</w:t>
      </w:r>
      <w:r>
        <w:t>s</w:t>
      </w:r>
      <w:r w:rsidR="00A30676">
        <w:t xml:space="preserve"> is a </w:t>
      </w:r>
      <w:r w:rsidR="00136E67">
        <w:t xml:space="preserve">clear trend of </w:t>
      </w:r>
      <w:r w:rsidR="00A30676">
        <w:t xml:space="preserve">positive technical change </w:t>
      </w:r>
      <w:r w:rsidR="00136E67">
        <w:t>at a slowly decreasing rate across</w:t>
      </w:r>
      <w:r w:rsidR="00A30676">
        <w:t xml:space="preserve"> the whole period</w:t>
      </w:r>
      <w:r w:rsidR="00136E67">
        <w:t xml:space="preserve">.  </w:t>
      </w:r>
      <w:r w:rsidR="00A30676">
        <w:t xml:space="preserve">In many ways this </w:t>
      </w:r>
      <w:r w:rsidR="00AE2AA7">
        <w:t xml:space="preserve">progressive </w:t>
      </w:r>
      <w:r w:rsidR="00A30676">
        <w:t xml:space="preserve">aspect makes sense, as productivity should be viewed as a long run concept (and in turn, efficiency as a short run concept), and hence modelling technical progress over time would appear to match better with the reality of the situation being studied.  </w:t>
      </w:r>
      <w:r w:rsidR="00CC6FC9">
        <w:t xml:space="preserve">A clear example of this is the effect of the Hatfield restrictions, which the DEA estimated as a significant reduction in technical change, whilst the COLS has modelled </w:t>
      </w:r>
      <w:r w:rsidR="00136E67">
        <w:t>as</w:t>
      </w:r>
      <w:r w:rsidR="00CC6FC9">
        <w:t xml:space="preserve"> short run inefficiency.  Given in the medium to longer term speed restrictions were removed, this </w:t>
      </w:r>
      <w:r w:rsidR="00585AF5">
        <w:t xml:space="preserve">longer time horizon </w:t>
      </w:r>
      <w:r w:rsidR="00CC6FC9">
        <w:t xml:space="preserve">would appear to be a more appropriate </w:t>
      </w:r>
      <w:r w:rsidR="005814D7">
        <w:t>reflection</w:t>
      </w:r>
      <w:r w:rsidR="00CC6FC9">
        <w:t xml:space="preserve"> of the reality. </w:t>
      </w:r>
      <w:r w:rsidR="00A30676">
        <w:t xml:space="preserve"> Priors would also suggest that</w:t>
      </w:r>
      <w:r w:rsidR="00595A99">
        <w:t>, due to the incorporation of a time trend,</w:t>
      </w:r>
      <w:r w:rsidR="00A30676">
        <w:t xml:space="preserve"> </w:t>
      </w:r>
      <w:r w:rsidR="00136E67">
        <w:t>econometric</w:t>
      </w:r>
      <w:r w:rsidR="00A30676">
        <w:t xml:space="preserve"> approaches will tend to put more emphasis on technical change to generate TFP gains rather than efficiency gains, and this </w:t>
      </w:r>
      <w:r w:rsidR="00595A99">
        <w:t xml:space="preserve">facet </w:t>
      </w:r>
      <w:r w:rsidR="00A30676">
        <w:t xml:space="preserve">does appear to be </w:t>
      </w:r>
      <w:r w:rsidR="00AE2AA7">
        <w:t>borne out by the results</w:t>
      </w:r>
      <w:r w:rsidR="00A30676">
        <w:t xml:space="preserve">.  Experience with other industries, in particular the port sector (Julien et al, 2017), also produced a similar emphasis on TC based TFP improvement.  </w:t>
      </w:r>
    </w:p>
    <w:p w14:paraId="16AC993F" w14:textId="48958B54" w:rsidR="00A30676" w:rsidRDefault="00487BB2" w:rsidP="00A30676">
      <w:r>
        <w:t xml:space="preserve">An indirect effect of this </w:t>
      </w:r>
      <w:r w:rsidR="001722EF">
        <w:t xml:space="preserve">high level of consistency in TC </w:t>
      </w:r>
      <w:r>
        <w:t xml:space="preserve">however, is that most changes in TFP are </w:t>
      </w:r>
      <w:r w:rsidR="00136E67">
        <w:t>therefore associated with</w:t>
      </w:r>
      <w:r>
        <w:t xml:space="preserve"> variations in EC</w:t>
      </w:r>
      <w:r w:rsidR="00136E67">
        <w:t xml:space="preserve">.  This is confirmed by calculation of the correlation co-efficient, which calculates to </w:t>
      </w:r>
      <w:r>
        <w:t xml:space="preserve">0.9911 for EC/TFP compared to </w:t>
      </w:r>
      <w:r w:rsidR="00136E67">
        <w:t xml:space="preserve">a statistically insignificant </w:t>
      </w:r>
      <w:r>
        <w:t xml:space="preserve">0.1112 for TC/TFP.  </w:t>
      </w:r>
      <w:r w:rsidR="00136E67">
        <w:t xml:space="preserve">This has been interpreted </w:t>
      </w:r>
      <w:r w:rsidR="004C7EEC">
        <w:t>by</w:t>
      </w:r>
      <w:r w:rsidR="00136E67">
        <w:t xml:space="preserve"> some studies as a second causal relationship, however w</w:t>
      </w:r>
      <w:r w:rsidR="001722EF">
        <w:t xml:space="preserve">hat is actually occurring is </w:t>
      </w:r>
      <w:r w:rsidR="00A30676">
        <w:t>that EC is causing short term deviations in TFP away from the long term trend</w:t>
      </w:r>
      <w:r w:rsidR="009D262C">
        <w:t>, which is</w:t>
      </w:r>
      <w:r w:rsidR="00F65EFF">
        <w:t xml:space="preserve"> </w:t>
      </w:r>
      <w:r w:rsidR="00585AF5">
        <w:t xml:space="preserve">being </w:t>
      </w:r>
      <w:r w:rsidR="00166D9C">
        <w:t>primarily</w:t>
      </w:r>
      <w:r w:rsidR="00585AF5">
        <w:t xml:space="preserve"> </w:t>
      </w:r>
      <w:r w:rsidR="00136E67">
        <w:t>d</w:t>
      </w:r>
      <w:r w:rsidR="00F65EFF">
        <w:t>riven by TC</w:t>
      </w:r>
      <w:r w:rsidR="00A30676">
        <w:t xml:space="preserve">.  </w:t>
      </w:r>
    </w:p>
    <w:p w14:paraId="0C3415FE" w14:textId="77777777" w:rsidR="00A30676" w:rsidRDefault="00A30676" w:rsidP="00A30676"/>
    <w:p w14:paraId="453C6D5E" w14:textId="4643A312" w:rsidR="00A30676" w:rsidRDefault="00357672" w:rsidP="00A30676">
      <w:pPr>
        <w:pStyle w:val="Heading3"/>
      </w:pPr>
      <w:r>
        <w:t xml:space="preserve">6.4 </w:t>
      </w:r>
      <w:r w:rsidR="00A30676">
        <w:t>Stochastic Frontier Derived TFP Results</w:t>
      </w:r>
    </w:p>
    <w:p w14:paraId="3A3C7C8D" w14:textId="7C6D7743" w:rsidR="00A30676" w:rsidRDefault="00A30676" w:rsidP="00A30676">
      <w:r>
        <w:t xml:space="preserve">Again the TFP measures are presented as before and shown in Table </w:t>
      </w:r>
      <w:r w:rsidR="003D0E85">
        <w:t>4</w:t>
      </w:r>
      <w:r>
        <w:t xml:space="preserve"> and Figure </w:t>
      </w:r>
      <w:r w:rsidR="003D0E85">
        <w:t>4</w:t>
      </w:r>
      <w:r>
        <w:t xml:space="preserve"> for annual mean values and the overall cumulative effect.</w:t>
      </w:r>
    </w:p>
    <w:p w14:paraId="767237F1" w14:textId="77777777" w:rsidR="00ED1301" w:rsidRDefault="00ED1301">
      <w:r>
        <w:br w:type="page"/>
      </w:r>
    </w:p>
    <w:p w14:paraId="3D82F90D" w14:textId="677E6193" w:rsidR="00A30676" w:rsidRDefault="00A30676" w:rsidP="00A30676">
      <w:r>
        <w:t xml:space="preserve">Table </w:t>
      </w:r>
      <w:r w:rsidR="003D0E85">
        <w:t>4</w:t>
      </w:r>
      <w:r>
        <w:t xml:space="preserve"> – British Passenger Rail Productivity, TFP, EC, TC, 1998 to 2015, Stochastic Frontier Based Estimates</w:t>
      </w:r>
    </w:p>
    <w:tbl>
      <w:tblPr>
        <w:tblW w:w="8262" w:type="dxa"/>
        <w:tblLook w:val="04A0" w:firstRow="1" w:lastRow="0" w:firstColumn="1" w:lastColumn="0" w:noHBand="0" w:noVBand="1"/>
      </w:tblPr>
      <w:tblGrid>
        <w:gridCol w:w="1838"/>
        <w:gridCol w:w="1276"/>
        <w:gridCol w:w="1134"/>
        <w:gridCol w:w="1134"/>
        <w:gridCol w:w="960"/>
        <w:gridCol w:w="960"/>
        <w:gridCol w:w="960"/>
      </w:tblGrid>
      <w:tr w:rsidR="00A30676" w:rsidRPr="00B376C4" w14:paraId="03065F51" w14:textId="77777777" w:rsidTr="003D0E85">
        <w:trPr>
          <w:trHeight w:val="288"/>
        </w:trPr>
        <w:tc>
          <w:tcPr>
            <w:tcW w:w="1838" w:type="dxa"/>
            <w:tcBorders>
              <w:top w:val="single" w:sz="4" w:space="0" w:color="auto"/>
              <w:left w:val="single" w:sz="4" w:space="0" w:color="auto"/>
              <w:bottom w:val="nil"/>
              <w:right w:val="nil"/>
            </w:tcBorders>
            <w:shd w:val="clear" w:color="auto" w:fill="auto"/>
            <w:noWrap/>
            <w:vAlign w:val="bottom"/>
            <w:hideMark/>
          </w:tcPr>
          <w:p w14:paraId="64993AAB"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Year</w:t>
            </w: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6C8EE1"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Annual Averages (Geometric Mean)</w:t>
            </w:r>
          </w:p>
        </w:tc>
        <w:tc>
          <w:tcPr>
            <w:tcW w:w="19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0B24900"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Cumulative Values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A730C3"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 </w:t>
            </w:r>
          </w:p>
        </w:tc>
      </w:tr>
      <w:tr w:rsidR="00A30676" w:rsidRPr="00B376C4" w14:paraId="2984B973" w14:textId="77777777" w:rsidTr="003D0E85">
        <w:trPr>
          <w:trHeight w:val="288"/>
        </w:trPr>
        <w:tc>
          <w:tcPr>
            <w:tcW w:w="1838" w:type="dxa"/>
            <w:tcBorders>
              <w:top w:val="nil"/>
              <w:left w:val="single" w:sz="4" w:space="0" w:color="auto"/>
              <w:bottom w:val="single" w:sz="4" w:space="0" w:color="auto"/>
              <w:right w:val="nil"/>
            </w:tcBorders>
            <w:shd w:val="clear" w:color="auto" w:fill="auto"/>
            <w:noWrap/>
            <w:vAlign w:val="bottom"/>
            <w:hideMark/>
          </w:tcPr>
          <w:p w14:paraId="26835BED"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86A611A"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EC</w:t>
            </w:r>
          </w:p>
        </w:tc>
        <w:tc>
          <w:tcPr>
            <w:tcW w:w="1134" w:type="dxa"/>
            <w:tcBorders>
              <w:top w:val="nil"/>
              <w:left w:val="nil"/>
              <w:bottom w:val="single" w:sz="4" w:space="0" w:color="auto"/>
              <w:right w:val="single" w:sz="4" w:space="0" w:color="auto"/>
            </w:tcBorders>
            <w:shd w:val="clear" w:color="auto" w:fill="auto"/>
            <w:noWrap/>
            <w:vAlign w:val="bottom"/>
            <w:hideMark/>
          </w:tcPr>
          <w:p w14:paraId="441BF04C"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TC</w:t>
            </w:r>
          </w:p>
        </w:tc>
        <w:tc>
          <w:tcPr>
            <w:tcW w:w="1134" w:type="dxa"/>
            <w:tcBorders>
              <w:top w:val="nil"/>
              <w:left w:val="nil"/>
              <w:bottom w:val="single" w:sz="4" w:space="0" w:color="auto"/>
              <w:right w:val="single" w:sz="4" w:space="0" w:color="auto"/>
            </w:tcBorders>
            <w:shd w:val="clear" w:color="auto" w:fill="auto"/>
            <w:noWrap/>
            <w:vAlign w:val="bottom"/>
            <w:hideMark/>
          </w:tcPr>
          <w:p w14:paraId="7EDE62E1"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TFP</w:t>
            </w:r>
          </w:p>
        </w:tc>
        <w:tc>
          <w:tcPr>
            <w:tcW w:w="960" w:type="dxa"/>
            <w:tcBorders>
              <w:top w:val="nil"/>
              <w:left w:val="nil"/>
              <w:bottom w:val="single" w:sz="4" w:space="0" w:color="auto"/>
              <w:right w:val="single" w:sz="4" w:space="0" w:color="auto"/>
            </w:tcBorders>
            <w:shd w:val="clear" w:color="auto" w:fill="auto"/>
            <w:noWrap/>
            <w:vAlign w:val="bottom"/>
            <w:hideMark/>
          </w:tcPr>
          <w:p w14:paraId="348458AF"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EC</w:t>
            </w:r>
          </w:p>
        </w:tc>
        <w:tc>
          <w:tcPr>
            <w:tcW w:w="960" w:type="dxa"/>
            <w:tcBorders>
              <w:top w:val="nil"/>
              <w:left w:val="nil"/>
              <w:bottom w:val="single" w:sz="4" w:space="0" w:color="auto"/>
              <w:right w:val="nil"/>
            </w:tcBorders>
            <w:shd w:val="clear" w:color="auto" w:fill="auto"/>
            <w:noWrap/>
            <w:vAlign w:val="bottom"/>
            <w:hideMark/>
          </w:tcPr>
          <w:p w14:paraId="544B10A8"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TC</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CAEA20"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TFP</w:t>
            </w:r>
          </w:p>
        </w:tc>
      </w:tr>
      <w:tr w:rsidR="00A30676" w:rsidRPr="00B376C4" w14:paraId="61CDA7D6"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63CB32DD"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1998</w:t>
            </w:r>
          </w:p>
        </w:tc>
        <w:tc>
          <w:tcPr>
            <w:tcW w:w="1276" w:type="dxa"/>
            <w:tcBorders>
              <w:top w:val="nil"/>
              <w:left w:val="single" w:sz="4" w:space="0" w:color="auto"/>
              <w:bottom w:val="nil"/>
              <w:right w:val="single" w:sz="4" w:space="0" w:color="auto"/>
            </w:tcBorders>
            <w:shd w:val="clear" w:color="auto" w:fill="auto"/>
            <w:noWrap/>
            <w:vAlign w:val="bottom"/>
            <w:hideMark/>
          </w:tcPr>
          <w:p w14:paraId="056B2A12"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1.0013</w:t>
            </w:r>
          </w:p>
        </w:tc>
        <w:tc>
          <w:tcPr>
            <w:tcW w:w="1134" w:type="dxa"/>
            <w:tcBorders>
              <w:top w:val="nil"/>
              <w:left w:val="nil"/>
              <w:bottom w:val="nil"/>
              <w:right w:val="single" w:sz="4" w:space="0" w:color="auto"/>
            </w:tcBorders>
            <w:shd w:val="clear" w:color="auto" w:fill="auto"/>
            <w:noWrap/>
            <w:vAlign w:val="bottom"/>
            <w:hideMark/>
          </w:tcPr>
          <w:p w14:paraId="7B39A996"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1.0115</w:t>
            </w:r>
          </w:p>
        </w:tc>
        <w:tc>
          <w:tcPr>
            <w:tcW w:w="1134" w:type="dxa"/>
            <w:tcBorders>
              <w:top w:val="nil"/>
              <w:left w:val="nil"/>
              <w:bottom w:val="nil"/>
              <w:right w:val="single" w:sz="4" w:space="0" w:color="auto"/>
            </w:tcBorders>
            <w:shd w:val="clear" w:color="auto" w:fill="auto"/>
            <w:noWrap/>
            <w:vAlign w:val="bottom"/>
            <w:hideMark/>
          </w:tcPr>
          <w:p w14:paraId="6E2BD068"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1.0128</w:t>
            </w:r>
          </w:p>
        </w:tc>
        <w:tc>
          <w:tcPr>
            <w:tcW w:w="960" w:type="dxa"/>
            <w:tcBorders>
              <w:top w:val="nil"/>
              <w:left w:val="nil"/>
              <w:bottom w:val="nil"/>
              <w:right w:val="single" w:sz="4" w:space="0" w:color="auto"/>
            </w:tcBorders>
            <w:shd w:val="clear" w:color="auto" w:fill="auto"/>
            <w:noWrap/>
            <w:vAlign w:val="bottom"/>
            <w:hideMark/>
          </w:tcPr>
          <w:p w14:paraId="21E71BCC"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1.0013</w:t>
            </w:r>
          </w:p>
        </w:tc>
        <w:tc>
          <w:tcPr>
            <w:tcW w:w="960" w:type="dxa"/>
            <w:tcBorders>
              <w:top w:val="nil"/>
              <w:left w:val="nil"/>
              <w:bottom w:val="nil"/>
              <w:right w:val="nil"/>
            </w:tcBorders>
            <w:shd w:val="clear" w:color="auto" w:fill="auto"/>
            <w:noWrap/>
            <w:vAlign w:val="bottom"/>
            <w:hideMark/>
          </w:tcPr>
          <w:p w14:paraId="3A2217E2"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1.0115</w:t>
            </w:r>
          </w:p>
        </w:tc>
        <w:tc>
          <w:tcPr>
            <w:tcW w:w="960" w:type="dxa"/>
            <w:tcBorders>
              <w:top w:val="nil"/>
              <w:left w:val="single" w:sz="4" w:space="0" w:color="auto"/>
              <w:bottom w:val="nil"/>
              <w:right w:val="single" w:sz="4" w:space="0" w:color="auto"/>
            </w:tcBorders>
            <w:shd w:val="clear" w:color="auto" w:fill="auto"/>
            <w:noWrap/>
            <w:vAlign w:val="bottom"/>
            <w:hideMark/>
          </w:tcPr>
          <w:p w14:paraId="48FB0A79"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1.0128</w:t>
            </w:r>
          </w:p>
        </w:tc>
      </w:tr>
      <w:tr w:rsidR="00A30676" w:rsidRPr="00B376C4" w14:paraId="3E0B6AA1"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29AC9B74"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1999</w:t>
            </w:r>
          </w:p>
        </w:tc>
        <w:tc>
          <w:tcPr>
            <w:tcW w:w="1276" w:type="dxa"/>
            <w:tcBorders>
              <w:top w:val="nil"/>
              <w:left w:val="single" w:sz="4" w:space="0" w:color="auto"/>
              <w:bottom w:val="nil"/>
              <w:right w:val="single" w:sz="4" w:space="0" w:color="auto"/>
            </w:tcBorders>
            <w:shd w:val="clear" w:color="auto" w:fill="auto"/>
            <w:noWrap/>
            <w:vAlign w:val="bottom"/>
            <w:hideMark/>
          </w:tcPr>
          <w:p w14:paraId="5DD47B65"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1.0036</w:t>
            </w:r>
          </w:p>
        </w:tc>
        <w:tc>
          <w:tcPr>
            <w:tcW w:w="1134" w:type="dxa"/>
            <w:tcBorders>
              <w:top w:val="nil"/>
              <w:left w:val="nil"/>
              <w:bottom w:val="nil"/>
              <w:right w:val="single" w:sz="4" w:space="0" w:color="auto"/>
            </w:tcBorders>
            <w:shd w:val="clear" w:color="auto" w:fill="auto"/>
            <w:noWrap/>
            <w:vAlign w:val="bottom"/>
            <w:hideMark/>
          </w:tcPr>
          <w:p w14:paraId="3B8EABC1"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1.0108</w:t>
            </w:r>
          </w:p>
        </w:tc>
        <w:tc>
          <w:tcPr>
            <w:tcW w:w="1134" w:type="dxa"/>
            <w:tcBorders>
              <w:top w:val="nil"/>
              <w:left w:val="nil"/>
              <w:bottom w:val="nil"/>
              <w:right w:val="single" w:sz="4" w:space="0" w:color="auto"/>
            </w:tcBorders>
            <w:shd w:val="clear" w:color="auto" w:fill="auto"/>
            <w:noWrap/>
            <w:vAlign w:val="bottom"/>
            <w:hideMark/>
          </w:tcPr>
          <w:p w14:paraId="6B5FF1B0"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1.0145</w:t>
            </w:r>
          </w:p>
        </w:tc>
        <w:tc>
          <w:tcPr>
            <w:tcW w:w="960" w:type="dxa"/>
            <w:tcBorders>
              <w:top w:val="nil"/>
              <w:left w:val="nil"/>
              <w:bottom w:val="nil"/>
              <w:right w:val="single" w:sz="4" w:space="0" w:color="auto"/>
            </w:tcBorders>
            <w:shd w:val="clear" w:color="auto" w:fill="auto"/>
            <w:noWrap/>
            <w:vAlign w:val="bottom"/>
            <w:hideMark/>
          </w:tcPr>
          <w:p w14:paraId="5AC7E053"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1.0050</w:t>
            </w:r>
          </w:p>
        </w:tc>
        <w:tc>
          <w:tcPr>
            <w:tcW w:w="960" w:type="dxa"/>
            <w:tcBorders>
              <w:top w:val="nil"/>
              <w:left w:val="nil"/>
              <w:bottom w:val="nil"/>
              <w:right w:val="nil"/>
            </w:tcBorders>
            <w:shd w:val="clear" w:color="auto" w:fill="auto"/>
            <w:noWrap/>
            <w:vAlign w:val="bottom"/>
            <w:hideMark/>
          </w:tcPr>
          <w:p w14:paraId="40F5C5DD"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1.0224</w:t>
            </w:r>
          </w:p>
        </w:tc>
        <w:tc>
          <w:tcPr>
            <w:tcW w:w="960" w:type="dxa"/>
            <w:tcBorders>
              <w:top w:val="nil"/>
              <w:left w:val="single" w:sz="4" w:space="0" w:color="auto"/>
              <w:bottom w:val="nil"/>
              <w:right w:val="single" w:sz="4" w:space="0" w:color="auto"/>
            </w:tcBorders>
            <w:shd w:val="clear" w:color="auto" w:fill="auto"/>
            <w:noWrap/>
            <w:vAlign w:val="bottom"/>
            <w:hideMark/>
          </w:tcPr>
          <w:p w14:paraId="2FB496D6"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1.0275</w:t>
            </w:r>
          </w:p>
        </w:tc>
      </w:tr>
      <w:tr w:rsidR="00A30676" w:rsidRPr="00B376C4" w14:paraId="292F744D"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570688FD"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2000</w:t>
            </w:r>
          </w:p>
        </w:tc>
        <w:tc>
          <w:tcPr>
            <w:tcW w:w="1276" w:type="dxa"/>
            <w:tcBorders>
              <w:top w:val="nil"/>
              <w:left w:val="single" w:sz="4" w:space="0" w:color="auto"/>
              <w:bottom w:val="nil"/>
              <w:right w:val="single" w:sz="4" w:space="0" w:color="auto"/>
            </w:tcBorders>
            <w:shd w:val="clear" w:color="auto" w:fill="auto"/>
            <w:noWrap/>
            <w:vAlign w:val="bottom"/>
            <w:hideMark/>
          </w:tcPr>
          <w:p w14:paraId="30C23E55"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1.0075</w:t>
            </w:r>
          </w:p>
        </w:tc>
        <w:tc>
          <w:tcPr>
            <w:tcW w:w="1134" w:type="dxa"/>
            <w:tcBorders>
              <w:top w:val="nil"/>
              <w:left w:val="nil"/>
              <w:bottom w:val="nil"/>
              <w:right w:val="single" w:sz="4" w:space="0" w:color="auto"/>
            </w:tcBorders>
            <w:shd w:val="clear" w:color="auto" w:fill="auto"/>
            <w:noWrap/>
            <w:vAlign w:val="bottom"/>
            <w:hideMark/>
          </w:tcPr>
          <w:p w14:paraId="26DE165A"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1.0101</w:t>
            </w:r>
          </w:p>
        </w:tc>
        <w:tc>
          <w:tcPr>
            <w:tcW w:w="1134" w:type="dxa"/>
            <w:tcBorders>
              <w:top w:val="nil"/>
              <w:left w:val="nil"/>
              <w:bottom w:val="nil"/>
              <w:right w:val="single" w:sz="4" w:space="0" w:color="auto"/>
            </w:tcBorders>
            <w:shd w:val="clear" w:color="auto" w:fill="auto"/>
            <w:noWrap/>
            <w:vAlign w:val="bottom"/>
            <w:hideMark/>
          </w:tcPr>
          <w:p w14:paraId="310C3B82"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1.0177</w:t>
            </w:r>
          </w:p>
        </w:tc>
        <w:tc>
          <w:tcPr>
            <w:tcW w:w="960" w:type="dxa"/>
            <w:tcBorders>
              <w:top w:val="nil"/>
              <w:left w:val="nil"/>
              <w:bottom w:val="nil"/>
              <w:right w:val="single" w:sz="4" w:space="0" w:color="auto"/>
            </w:tcBorders>
            <w:shd w:val="clear" w:color="auto" w:fill="auto"/>
            <w:noWrap/>
            <w:vAlign w:val="bottom"/>
            <w:hideMark/>
          </w:tcPr>
          <w:p w14:paraId="3D53C8A3"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1.0125</w:t>
            </w:r>
          </w:p>
        </w:tc>
        <w:tc>
          <w:tcPr>
            <w:tcW w:w="960" w:type="dxa"/>
            <w:tcBorders>
              <w:top w:val="nil"/>
              <w:left w:val="nil"/>
              <w:bottom w:val="nil"/>
              <w:right w:val="nil"/>
            </w:tcBorders>
            <w:shd w:val="clear" w:color="auto" w:fill="auto"/>
            <w:noWrap/>
            <w:vAlign w:val="bottom"/>
            <w:hideMark/>
          </w:tcPr>
          <w:p w14:paraId="5244E9F5"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1.0328</w:t>
            </w:r>
          </w:p>
        </w:tc>
        <w:tc>
          <w:tcPr>
            <w:tcW w:w="960" w:type="dxa"/>
            <w:tcBorders>
              <w:top w:val="nil"/>
              <w:left w:val="single" w:sz="4" w:space="0" w:color="auto"/>
              <w:bottom w:val="nil"/>
              <w:right w:val="single" w:sz="4" w:space="0" w:color="auto"/>
            </w:tcBorders>
            <w:shd w:val="clear" w:color="auto" w:fill="auto"/>
            <w:noWrap/>
            <w:vAlign w:val="bottom"/>
            <w:hideMark/>
          </w:tcPr>
          <w:p w14:paraId="38D0468D"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1.0456</w:t>
            </w:r>
          </w:p>
        </w:tc>
      </w:tr>
      <w:tr w:rsidR="00A30676" w:rsidRPr="00B376C4" w14:paraId="230DFC1B"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1C8D8917"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2001</w:t>
            </w:r>
          </w:p>
        </w:tc>
        <w:tc>
          <w:tcPr>
            <w:tcW w:w="1276" w:type="dxa"/>
            <w:tcBorders>
              <w:top w:val="nil"/>
              <w:left w:val="single" w:sz="4" w:space="0" w:color="auto"/>
              <w:bottom w:val="nil"/>
              <w:right w:val="single" w:sz="4" w:space="0" w:color="auto"/>
            </w:tcBorders>
            <w:shd w:val="clear" w:color="auto" w:fill="auto"/>
            <w:noWrap/>
            <w:vAlign w:val="bottom"/>
            <w:hideMark/>
          </w:tcPr>
          <w:p w14:paraId="7CD0E608"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0.9968</w:t>
            </w:r>
          </w:p>
        </w:tc>
        <w:tc>
          <w:tcPr>
            <w:tcW w:w="1134" w:type="dxa"/>
            <w:tcBorders>
              <w:top w:val="nil"/>
              <w:left w:val="nil"/>
              <w:bottom w:val="nil"/>
              <w:right w:val="single" w:sz="4" w:space="0" w:color="auto"/>
            </w:tcBorders>
            <w:shd w:val="clear" w:color="auto" w:fill="auto"/>
            <w:noWrap/>
            <w:vAlign w:val="bottom"/>
            <w:hideMark/>
          </w:tcPr>
          <w:p w14:paraId="7515C753"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1.0100</w:t>
            </w:r>
          </w:p>
        </w:tc>
        <w:tc>
          <w:tcPr>
            <w:tcW w:w="1134" w:type="dxa"/>
            <w:tcBorders>
              <w:top w:val="nil"/>
              <w:left w:val="nil"/>
              <w:bottom w:val="nil"/>
              <w:right w:val="single" w:sz="4" w:space="0" w:color="auto"/>
            </w:tcBorders>
            <w:shd w:val="clear" w:color="auto" w:fill="auto"/>
            <w:noWrap/>
            <w:vAlign w:val="bottom"/>
            <w:hideMark/>
          </w:tcPr>
          <w:p w14:paraId="5F8CB642"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1.0067</w:t>
            </w:r>
          </w:p>
        </w:tc>
        <w:tc>
          <w:tcPr>
            <w:tcW w:w="960" w:type="dxa"/>
            <w:tcBorders>
              <w:top w:val="nil"/>
              <w:left w:val="nil"/>
              <w:bottom w:val="nil"/>
              <w:right w:val="single" w:sz="4" w:space="0" w:color="auto"/>
            </w:tcBorders>
            <w:shd w:val="clear" w:color="auto" w:fill="auto"/>
            <w:noWrap/>
            <w:vAlign w:val="bottom"/>
            <w:hideMark/>
          </w:tcPr>
          <w:p w14:paraId="3438EC9A"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1.0092</w:t>
            </w:r>
          </w:p>
        </w:tc>
        <w:tc>
          <w:tcPr>
            <w:tcW w:w="960" w:type="dxa"/>
            <w:tcBorders>
              <w:top w:val="nil"/>
              <w:left w:val="nil"/>
              <w:bottom w:val="nil"/>
              <w:right w:val="nil"/>
            </w:tcBorders>
            <w:shd w:val="clear" w:color="auto" w:fill="auto"/>
            <w:noWrap/>
            <w:vAlign w:val="bottom"/>
            <w:hideMark/>
          </w:tcPr>
          <w:p w14:paraId="06D995A2"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1.0431</w:t>
            </w:r>
          </w:p>
        </w:tc>
        <w:tc>
          <w:tcPr>
            <w:tcW w:w="960" w:type="dxa"/>
            <w:tcBorders>
              <w:top w:val="nil"/>
              <w:left w:val="single" w:sz="4" w:space="0" w:color="auto"/>
              <w:bottom w:val="nil"/>
              <w:right w:val="single" w:sz="4" w:space="0" w:color="auto"/>
            </w:tcBorders>
            <w:shd w:val="clear" w:color="auto" w:fill="auto"/>
            <w:noWrap/>
            <w:vAlign w:val="bottom"/>
            <w:hideMark/>
          </w:tcPr>
          <w:p w14:paraId="644E187A"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1.0527</w:t>
            </w:r>
          </w:p>
        </w:tc>
      </w:tr>
      <w:tr w:rsidR="00A30676" w:rsidRPr="00B376C4" w14:paraId="157732A1"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6A8D4DFB"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2002</w:t>
            </w:r>
          </w:p>
        </w:tc>
        <w:tc>
          <w:tcPr>
            <w:tcW w:w="1276" w:type="dxa"/>
            <w:tcBorders>
              <w:top w:val="nil"/>
              <w:left w:val="single" w:sz="4" w:space="0" w:color="auto"/>
              <w:bottom w:val="nil"/>
              <w:right w:val="single" w:sz="4" w:space="0" w:color="auto"/>
            </w:tcBorders>
            <w:shd w:val="clear" w:color="auto" w:fill="auto"/>
            <w:noWrap/>
            <w:vAlign w:val="bottom"/>
            <w:hideMark/>
          </w:tcPr>
          <w:p w14:paraId="49F57C89"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0.9942</w:t>
            </w:r>
          </w:p>
        </w:tc>
        <w:tc>
          <w:tcPr>
            <w:tcW w:w="1134" w:type="dxa"/>
            <w:tcBorders>
              <w:top w:val="nil"/>
              <w:left w:val="nil"/>
              <w:bottom w:val="nil"/>
              <w:right w:val="single" w:sz="4" w:space="0" w:color="auto"/>
            </w:tcBorders>
            <w:shd w:val="clear" w:color="auto" w:fill="auto"/>
            <w:noWrap/>
            <w:vAlign w:val="bottom"/>
            <w:hideMark/>
          </w:tcPr>
          <w:p w14:paraId="69B77240"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1.0097</w:t>
            </w:r>
          </w:p>
        </w:tc>
        <w:tc>
          <w:tcPr>
            <w:tcW w:w="1134" w:type="dxa"/>
            <w:tcBorders>
              <w:top w:val="nil"/>
              <w:left w:val="nil"/>
              <w:bottom w:val="nil"/>
              <w:right w:val="single" w:sz="4" w:space="0" w:color="auto"/>
            </w:tcBorders>
            <w:shd w:val="clear" w:color="auto" w:fill="auto"/>
            <w:noWrap/>
            <w:vAlign w:val="bottom"/>
            <w:hideMark/>
          </w:tcPr>
          <w:p w14:paraId="3DA70353"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1.0039</w:t>
            </w:r>
          </w:p>
        </w:tc>
        <w:tc>
          <w:tcPr>
            <w:tcW w:w="960" w:type="dxa"/>
            <w:tcBorders>
              <w:top w:val="nil"/>
              <w:left w:val="nil"/>
              <w:bottom w:val="nil"/>
              <w:right w:val="single" w:sz="4" w:space="0" w:color="auto"/>
            </w:tcBorders>
            <w:shd w:val="clear" w:color="auto" w:fill="auto"/>
            <w:noWrap/>
            <w:vAlign w:val="bottom"/>
            <w:hideMark/>
          </w:tcPr>
          <w:p w14:paraId="4B376D94"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1.0034</w:t>
            </w:r>
          </w:p>
        </w:tc>
        <w:tc>
          <w:tcPr>
            <w:tcW w:w="960" w:type="dxa"/>
            <w:tcBorders>
              <w:top w:val="nil"/>
              <w:left w:val="nil"/>
              <w:bottom w:val="nil"/>
              <w:right w:val="nil"/>
            </w:tcBorders>
            <w:shd w:val="clear" w:color="auto" w:fill="auto"/>
            <w:noWrap/>
            <w:vAlign w:val="bottom"/>
            <w:hideMark/>
          </w:tcPr>
          <w:p w14:paraId="2873AC38"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1.0532</w:t>
            </w:r>
          </w:p>
        </w:tc>
        <w:tc>
          <w:tcPr>
            <w:tcW w:w="960" w:type="dxa"/>
            <w:tcBorders>
              <w:top w:val="nil"/>
              <w:left w:val="single" w:sz="4" w:space="0" w:color="auto"/>
              <w:bottom w:val="nil"/>
              <w:right w:val="single" w:sz="4" w:space="0" w:color="auto"/>
            </w:tcBorders>
            <w:shd w:val="clear" w:color="auto" w:fill="auto"/>
            <w:noWrap/>
            <w:vAlign w:val="bottom"/>
            <w:hideMark/>
          </w:tcPr>
          <w:p w14:paraId="78A2B7EF"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1.0568</w:t>
            </w:r>
          </w:p>
        </w:tc>
      </w:tr>
      <w:tr w:rsidR="00A30676" w:rsidRPr="00B376C4" w14:paraId="1AA7EF1B"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18DE060F"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2003</w:t>
            </w:r>
          </w:p>
        </w:tc>
        <w:tc>
          <w:tcPr>
            <w:tcW w:w="1276" w:type="dxa"/>
            <w:tcBorders>
              <w:top w:val="nil"/>
              <w:left w:val="single" w:sz="4" w:space="0" w:color="auto"/>
              <w:bottom w:val="nil"/>
              <w:right w:val="single" w:sz="4" w:space="0" w:color="auto"/>
            </w:tcBorders>
            <w:shd w:val="clear" w:color="auto" w:fill="auto"/>
            <w:noWrap/>
            <w:vAlign w:val="bottom"/>
            <w:hideMark/>
          </w:tcPr>
          <w:p w14:paraId="189B3070"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1.0049</w:t>
            </w:r>
          </w:p>
        </w:tc>
        <w:tc>
          <w:tcPr>
            <w:tcW w:w="1134" w:type="dxa"/>
            <w:tcBorders>
              <w:top w:val="nil"/>
              <w:left w:val="nil"/>
              <w:bottom w:val="nil"/>
              <w:right w:val="single" w:sz="4" w:space="0" w:color="auto"/>
            </w:tcBorders>
            <w:shd w:val="clear" w:color="auto" w:fill="auto"/>
            <w:noWrap/>
            <w:vAlign w:val="bottom"/>
            <w:hideMark/>
          </w:tcPr>
          <w:p w14:paraId="149DFB01"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1.0089</w:t>
            </w:r>
          </w:p>
        </w:tc>
        <w:tc>
          <w:tcPr>
            <w:tcW w:w="1134" w:type="dxa"/>
            <w:tcBorders>
              <w:top w:val="nil"/>
              <w:left w:val="nil"/>
              <w:bottom w:val="nil"/>
              <w:right w:val="single" w:sz="4" w:space="0" w:color="auto"/>
            </w:tcBorders>
            <w:shd w:val="clear" w:color="auto" w:fill="auto"/>
            <w:noWrap/>
            <w:vAlign w:val="bottom"/>
            <w:hideMark/>
          </w:tcPr>
          <w:p w14:paraId="0BB2FF54"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1.0139</w:t>
            </w:r>
          </w:p>
        </w:tc>
        <w:tc>
          <w:tcPr>
            <w:tcW w:w="960" w:type="dxa"/>
            <w:tcBorders>
              <w:top w:val="nil"/>
              <w:left w:val="nil"/>
              <w:bottom w:val="nil"/>
              <w:right w:val="single" w:sz="4" w:space="0" w:color="auto"/>
            </w:tcBorders>
            <w:shd w:val="clear" w:color="auto" w:fill="auto"/>
            <w:noWrap/>
            <w:vAlign w:val="bottom"/>
            <w:hideMark/>
          </w:tcPr>
          <w:p w14:paraId="6CF9E233"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1.0083</w:t>
            </w:r>
          </w:p>
        </w:tc>
        <w:tc>
          <w:tcPr>
            <w:tcW w:w="960" w:type="dxa"/>
            <w:tcBorders>
              <w:top w:val="nil"/>
              <w:left w:val="nil"/>
              <w:bottom w:val="nil"/>
              <w:right w:val="nil"/>
            </w:tcBorders>
            <w:shd w:val="clear" w:color="auto" w:fill="auto"/>
            <w:noWrap/>
            <w:vAlign w:val="bottom"/>
            <w:hideMark/>
          </w:tcPr>
          <w:p w14:paraId="4967B091"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1.0626</w:t>
            </w:r>
          </w:p>
        </w:tc>
        <w:tc>
          <w:tcPr>
            <w:tcW w:w="960" w:type="dxa"/>
            <w:tcBorders>
              <w:top w:val="nil"/>
              <w:left w:val="single" w:sz="4" w:space="0" w:color="auto"/>
              <w:bottom w:val="nil"/>
              <w:right w:val="single" w:sz="4" w:space="0" w:color="auto"/>
            </w:tcBorders>
            <w:shd w:val="clear" w:color="auto" w:fill="auto"/>
            <w:noWrap/>
            <w:vAlign w:val="bottom"/>
            <w:hideMark/>
          </w:tcPr>
          <w:p w14:paraId="29ED9633"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1.0715</w:t>
            </w:r>
          </w:p>
        </w:tc>
      </w:tr>
      <w:tr w:rsidR="00A30676" w:rsidRPr="00B376C4" w14:paraId="23595338"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378CAAB6"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2004</w:t>
            </w:r>
          </w:p>
        </w:tc>
        <w:tc>
          <w:tcPr>
            <w:tcW w:w="1276" w:type="dxa"/>
            <w:tcBorders>
              <w:top w:val="nil"/>
              <w:left w:val="single" w:sz="4" w:space="0" w:color="auto"/>
              <w:bottom w:val="nil"/>
              <w:right w:val="single" w:sz="4" w:space="0" w:color="auto"/>
            </w:tcBorders>
            <w:shd w:val="clear" w:color="auto" w:fill="auto"/>
            <w:noWrap/>
            <w:vAlign w:val="bottom"/>
            <w:hideMark/>
          </w:tcPr>
          <w:p w14:paraId="2A7DE208"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0.9974</w:t>
            </w:r>
          </w:p>
        </w:tc>
        <w:tc>
          <w:tcPr>
            <w:tcW w:w="1134" w:type="dxa"/>
            <w:tcBorders>
              <w:top w:val="nil"/>
              <w:left w:val="nil"/>
              <w:bottom w:val="nil"/>
              <w:right w:val="single" w:sz="4" w:space="0" w:color="auto"/>
            </w:tcBorders>
            <w:shd w:val="clear" w:color="auto" w:fill="auto"/>
            <w:noWrap/>
            <w:vAlign w:val="bottom"/>
            <w:hideMark/>
          </w:tcPr>
          <w:p w14:paraId="3A55258C"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1.0085</w:t>
            </w:r>
          </w:p>
        </w:tc>
        <w:tc>
          <w:tcPr>
            <w:tcW w:w="1134" w:type="dxa"/>
            <w:tcBorders>
              <w:top w:val="nil"/>
              <w:left w:val="nil"/>
              <w:bottom w:val="nil"/>
              <w:right w:val="single" w:sz="4" w:space="0" w:color="auto"/>
            </w:tcBorders>
            <w:shd w:val="clear" w:color="auto" w:fill="auto"/>
            <w:noWrap/>
            <w:vAlign w:val="bottom"/>
            <w:hideMark/>
          </w:tcPr>
          <w:p w14:paraId="6F8E4120"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1.0058</w:t>
            </w:r>
          </w:p>
        </w:tc>
        <w:tc>
          <w:tcPr>
            <w:tcW w:w="960" w:type="dxa"/>
            <w:tcBorders>
              <w:top w:val="nil"/>
              <w:left w:val="nil"/>
              <w:bottom w:val="nil"/>
              <w:right w:val="single" w:sz="4" w:space="0" w:color="auto"/>
            </w:tcBorders>
            <w:shd w:val="clear" w:color="auto" w:fill="auto"/>
            <w:noWrap/>
            <w:vAlign w:val="bottom"/>
            <w:hideMark/>
          </w:tcPr>
          <w:p w14:paraId="3F655D97"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1.0057</w:t>
            </w:r>
          </w:p>
        </w:tc>
        <w:tc>
          <w:tcPr>
            <w:tcW w:w="960" w:type="dxa"/>
            <w:tcBorders>
              <w:top w:val="nil"/>
              <w:left w:val="nil"/>
              <w:bottom w:val="nil"/>
              <w:right w:val="nil"/>
            </w:tcBorders>
            <w:shd w:val="clear" w:color="auto" w:fill="auto"/>
            <w:noWrap/>
            <w:vAlign w:val="bottom"/>
            <w:hideMark/>
          </w:tcPr>
          <w:p w14:paraId="2EC4322A"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1.0716</w:t>
            </w:r>
          </w:p>
        </w:tc>
        <w:tc>
          <w:tcPr>
            <w:tcW w:w="960" w:type="dxa"/>
            <w:tcBorders>
              <w:top w:val="nil"/>
              <w:left w:val="single" w:sz="4" w:space="0" w:color="auto"/>
              <w:bottom w:val="nil"/>
              <w:right w:val="single" w:sz="4" w:space="0" w:color="auto"/>
            </w:tcBorders>
            <w:shd w:val="clear" w:color="auto" w:fill="auto"/>
            <w:noWrap/>
            <w:vAlign w:val="bottom"/>
            <w:hideMark/>
          </w:tcPr>
          <w:p w14:paraId="37C53399"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1.0777</w:t>
            </w:r>
          </w:p>
        </w:tc>
      </w:tr>
      <w:tr w:rsidR="00A30676" w:rsidRPr="00B376C4" w14:paraId="72288946"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34DA4EA1"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2005</w:t>
            </w:r>
          </w:p>
        </w:tc>
        <w:tc>
          <w:tcPr>
            <w:tcW w:w="1276" w:type="dxa"/>
            <w:tcBorders>
              <w:top w:val="nil"/>
              <w:left w:val="single" w:sz="4" w:space="0" w:color="auto"/>
              <w:bottom w:val="nil"/>
              <w:right w:val="single" w:sz="4" w:space="0" w:color="auto"/>
            </w:tcBorders>
            <w:shd w:val="clear" w:color="auto" w:fill="auto"/>
            <w:noWrap/>
            <w:vAlign w:val="bottom"/>
            <w:hideMark/>
          </w:tcPr>
          <w:p w14:paraId="360754AD"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1.0060</w:t>
            </w:r>
          </w:p>
        </w:tc>
        <w:tc>
          <w:tcPr>
            <w:tcW w:w="1134" w:type="dxa"/>
            <w:tcBorders>
              <w:top w:val="nil"/>
              <w:left w:val="nil"/>
              <w:bottom w:val="nil"/>
              <w:right w:val="single" w:sz="4" w:space="0" w:color="auto"/>
            </w:tcBorders>
            <w:shd w:val="clear" w:color="auto" w:fill="auto"/>
            <w:noWrap/>
            <w:vAlign w:val="bottom"/>
            <w:hideMark/>
          </w:tcPr>
          <w:p w14:paraId="524830B0"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1.0080</w:t>
            </w:r>
          </w:p>
        </w:tc>
        <w:tc>
          <w:tcPr>
            <w:tcW w:w="1134" w:type="dxa"/>
            <w:tcBorders>
              <w:top w:val="nil"/>
              <w:left w:val="nil"/>
              <w:bottom w:val="nil"/>
              <w:right w:val="single" w:sz="4" w:space="0" w:color="auto"/>
            </w:tcBorders>
            <w:shd w:val="clear" w:color="auto" w:fill="auto"/>
            <w:noWrap/>
            <w:vAlign w:val="bottom"/>
            <w:hideMark/>
          </w:tcPr>
          <w:p w14:paraId="3680A07C"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1.0141</w:t>
            </w:r>
          </w:p>
        </w:tc>
        <w:tc>
          <w:tcPr>
            <w:tcW w:w="960" w:type="dxa"/>
            <w:tcBorders>
              <w:top w:val="nil"/>
              <w:left w:val="nil"/>
              <w:bottom w:val="nil"/>
              <w:right w:val="single" w:sz="4" w:space="0" w:color="auto"/>
            </w:tcBorders>
            <w:shd w:val="clear" w:color="auto" w:fill="auto"/>
            <w:noWrap/>
            <w:vAlign w:val="bottom"/>
            <w:hideMark/>
          </w:tcPr>
          <w:p w14:paraId="7F9998FF"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1.0117</w:t>
            </w:r>
          </w:p>
        </w:tc>
        <w:tc>
          <w:tcPr>
            <w:tcW w:w="960" w:type="dxa"/>
            <w:tcBorders>
              <w:top w:val="nil"/>
              <w:left w:val="nil"/>
              <w:bottom w:val="nil"/>
              <w:right w:val="nil"/>
            </w:tcBorders>
            <w:shd w:val="clear" w:color="auto" w:fill="auto"/>
            <w:noWrap/>
            <w:vAlign w:val="bottom"/>
            <w:hideMark/>
          </w:tcPr>
          <w:p w14:paraId="428F7AAE"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1.0802</w:t>
            </w:r>
          </w:p>
        </w:tc>
        <w:tc>
          <w:tcPr>
            <w:tcW w:w="960" w:type="dxa"/>
            <w:tcBorders>
              <w:top w:val="nil"/>
              <w:left w:val="single" w:sz="4" w:space="0" w:color="auto"/>
              <w:bottom w:val="nil"/>
              <w:right w:val="single" w:sz="4" w:space="0" w:color="auto"/>
            </w:tcBorders>
            <w:shd w:val="clear" w:color="auto" w:fill="auto"/>
            <w:noWrap/>
            <w:vAlign w:val="bottom"/>
            <w:hideMark/>
          </w:tcPr>
          <w:p w14:paraId="15622B6C"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1.0929</w:t>
            </w:r>
          </w:p>
        </w:tc>
      </w:tr>
      <w:tr w:rsidR="00A30676" w:rsidRPr="00B376C4" w14:paraId="2443A1D3"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182747BB"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2006</w:t>
            </w:r>
          </w:p>
        </w:tc>
        <w:tc>
          <w:tcPr>
            <w:tcW w:w="1276" w:type="dxa"/>
            <w:tcBorders>
              <w:top w:val="nil"/>
              <w:left w:val="single" w:sz="4" w:space="0" w:color="auto"/>
              <w:bottom w:val="nil"/>
              <w:right w:val="single" w:sz="4" w:space="0" w:color="auto"/>
            </w:tcBorders>
            <w:shd w:val="clear" w:color="auto" w:fill="auto"/>
            <w:noWrap/>
            <w:vAlign w:val="bottom"/>
            <w:hideMark/>
          </w:tcPr>
          <w:p w14:paraId="35F789CE"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0.9978</w:t>
            </w:r>
          </w:p>
        </w:tc>
        <w:tc>
          <w:tcPr>
            <w:tcW w:w="1134" w:type="dxa"/>
            <w:tcBorders>
              <w:top w:val="nil"/>
              <w:left w:val="nil"/>
              <w:bottom w:val="nil"/>
              <w:right w:val="single" w:sz="4" w:space="0" w:color="auto"/>
            </w:tcBorders>
            <w:shd w:val="clear" w:color="auto" w:fill="auto"/>
            <w:noWrap/>
            <w:vAlign w:val="bottom"/>
            <w:hideMark/>
          </w:tcPr>
          <w:p w14:paraId="746E7881"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1.0072</w:t>
            </w:r>
          </w:p>
        </w:tc>
        <w:tc>
          <w:tcPr>
            <w:tcW w:w="1134" w:type="dxa"/>
            <w:tcBorders>
              <w:top w:val="nil"/>
              <w:left w:val="nil"/>
              <w:bottom w:val="nil"/>
              <w:right w:val="single" w:sz="4" w:space="0" w:color="auto"/>
            </w:tcBorders>
            <w:shd w:val="clear" w:color="auto" w:fill="auto"/>
            <w:noWrap/>
            <w:vAlign w:val="bottom"/>
            <w:hideMark/>
          </w:tcPr>
          <w:p w14:paraId="4D11D071"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1.0050</w:t>
            </w:r>
          </w:p>
        </w:tc>
        <w:tc>
          <w:tcPr>
            <w:tcW w:w="960" w:type="dxa"/>
            <w:tcBorders>
              <w:top w:val="nil"/>
              <w:left w:val="nil"/>
              <w:bottom w:val="nil"/>
              <w:right w:val="single" w:sz="4" w:space="0" w:color="auto"/>
            </w:tcBorders>
            <w:shd w:val="clear" w:color="auto" w:fill="auto"/>
            <w:noWrap/>
            <w:vAlign w:val="bottom"/>
            <w:hideMark/>
          </w:tcPr>
          <w:p w14:paraId="3F766853"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1.0095</w:t>
            </w:r>
          </w:p>
        </w:tc>
        <w:tc>
          <w:tcPr>
            <w:tcW w:w="960" w:type="dxa"/>
            <w:tcBorders>
              <w:top w:val="nil"/>
              <w:left w:val="nil"/>
              <w:bottom w:val="nil"/>
              <w:right w:val="nil"/>
            </w:tcBorders>
            <w:shd w:val="clear" w:color="auto" w:fill="auto"/>
            <w:noWrap/>
            <w:vAlign w:val="bottom"/>
            <w:hideMark/>
          </w:tcPr>
          <w:p w14:paraId="3C8D19DC"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1.0880</w:t>
            </w:r>
          </w:p>
        </w:tc>
        <w:tc>
          <w:tcPr>
            <w:tcW w:w="960" w:type="dxa"/>
            <w:tcBorders>
              <w:top w:val="nil"/>
              <w:left w:val="single" w:sz="4" w:space="0" w:color="auto"/>
              <w:bottom w:val="nil"/>
              <w:right w:val="single" w:sz="4" w:space="0" w:color="auto"/>
            </w:tcBorders>
            <w:shd w:val="clear" w:color="auto" w:fill="auto"/>
            <w:noWrap/>
            <w:vAlign w:val="bottom"/>
            <w:hideMark/>
          </w:tcPr>
          <w:p w14:paraId="0C25E15F"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1.0984</w:t>
            </w:r>
          </w:p>
        </w:tc>
      </w:tr>
      <w:tr w:rsidR="00A30676" w:rsidRPr="00B376C4" w14:paraId="645251F5"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51A3EADA"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2007</w:t>
            </w:r>
          </w:p>
        </w:tc>
        <w:tc>
          <w:tcPr>
            <w:tcW w:w="1276" w:type="dxa"/>
            <w:tcBorders>
              <w:top w:val="nil"/>
              <w:left w:val="single" w:sz="4" w:space="0" w:color="auto"/>
              <w:bottom w:val="nil"/>
              <w:right w:val="single" w:sz="4" w:space="0" w:color="auto"/>
            </w:tcBorders>
            <w:shd w:val="clear" w:color="auto" w:fill="auto"/>
            <w:noWrap/>
            <w:vAlign w:val="bottom"/>
            <w:hideMark/>
          </w:tcPr>
          <w:p w14:paraId="187586D0"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0.9966</w:t>
            </w:r>
          </w:p>
        </w:tc>
        <w:tc>
          <w:tcPr>
            <w:tcW w:w="1134" w:type="dxa"/>
            <w:tcBorders>
              <w:top w:val="nil"/>
              <w:left w:val="nil"/>
              <w:bottom w:val="nil"/>
              <w:right w:val="single" w:sz="4" w:space="0" w:color="auto"/>
            </w:tcBorders>
            <w:shd w:val="clear" w:color="auto" w:fill="auto"/>
            <w:noWrap/>
            <w:vAlign w:val="bottom"/>
            <w:hideMark/>
          </w:tcPr>
          <w:p w14:paraId="6FC19654"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1.0072</w:t>
            </w:r>
          </w:p>
        </w:tc>
        <w:tc>
          <w:tcPr>
            <w:tcW w:w="1134" w:type="dxa"/>
            <w:tcBorders>
              <w:top w:val="nil"/>
              <w:left w:val="nil"/>
              <w:bottom w:val="nil"/>
              <w:right w:val="single" w:sz="4" w:space="0" w:color="auto"/>
            </w:tcBorders>
            <w:shd w:val="clear" w:color="auto" w:fill="auto"/>
            <w:noWrap/>
            <w:vAlign w:val="bottom"/>
            <w:hideMark/>
          </w:tcPr>
          <w:p w14:paraId="70B0FA44"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1.0037</w:t>
            </w:r>
          </w:p>
        </w:tc>
        <w:tc>
          <w:tcPr>
            <w:tcW w:w="960" w:type="dxa"/>
            <w:tcBorders>
              <w:top w:val="nil"/>
              <w:left w:val="nil"/>
              <w:bottom w:val="nil"/>
              <w:right w:val="single" w:sz="4" w:space="0" w:color="auto"/>
            </w:tcBorders>
            <w:shd w:val="clear" w:color="auto" w:fill="auto"/>
            <w:noWrap/>
            <w:vAlign w:val="bottom"/>
            <w:hideMark/>
          </w:tcPr>
          <w:p w14:paraId="507DF651"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1.0061</w:t>
            </w:r>
          </w:p>
        </w:tc>
        <w:tc>
          <w:tcPr>
            <w:tcW w:w="960" w:type="dxa"/>
            <w:tcBorders>
              <w:top w:val="nil"/>
              <w:left w:val="nil"/>
              <w:bottom w:val="nil"/>
              <w:right w:val="nil"/>
            </w:tcBorders>
            <w:shd w:val="clear" w:color="auto" w:fill="auto"/>
            <w:noWrap/>
            <w:vAlign w:val="bottom"/>
            <w:hideMark/>
          </w:tcPr>
          <w:p w14:paraId="0B5F65C2"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1.0958</w:t>
            </w:r>
          </w:p>
        </w:tc>
        <w:tc>
          <w:tcPr>
            <w:tcW w:w="960" w:type="dxa"/>
            <w:tcBorders>
              <w:top w:val="nil"/>
              <w:left w:val="single" w:sz="4" w:space="0" w:color="auto"/>
              <w:bottom w:val="nil"/>
              <w:right w:val="single" w:sz="4" w:space="0" w:color="auto"/>
            </w:tcBorders>
            <w:shd w:val="clear" w:color="auto" w:fill="auto"/>
            <w:noWrap/>
            <w:vAlign w:val="bottom"/>
            <w:hideMark/>
          </w:tcPr>
          <w:p w14:paraId="65CF7F44"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1.1025</w:t>
            </w:r>
          </w:p>
        </w:tc>
      </w:tr>
      <w:tr w:rsidR="00A30676" w:rsidRPr="00B376C4" w14:paraId="46D5F296"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451F0051"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2008</w:t>
            </w:r>
          </w:p>
        </w:tc>
        <w:tc>
          <w:tcPr>
            <w:tcW w:w="1276" w:type="dxa"/>
            <w:tcBorders>
              <w:top w:val="nil"/>
              <w:left w:val="single" w:sz="4" w:space="0" w:color="auto"/>
              <w:bottom w:val="nil"/>
              <w:right w:val="single" w:sz="4" w:space="0" w:color="auto"/>
            </w:tcBorders>
            <w:shd w:val="clear" w:color="auto" w:fill="auto"/>
            <w:noWrap/>
            <w:vAlign w:val="bottom"/>
            <w:hideMark/>
          </w:tcPr>
          <w:p w14:paraId="515BF4DF"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0.9952</w:t>
            </w:r>
          </w:p>
        </w:tc>
        <w:tc>
          <w:tcPr>
            <w:tcW w:w="1134" w:type="dxa"/>
            <w:tcBorders>
              <w:top w:val="nil"/>
              <w:left w:val="nil"/>
              <w:bottom w:val="nil"/>
              <w:right w:val="single" w:sz="4" w:space="0" w:color="auto"/>
            </w:tcBorders>
            <w:shd w:val="clear" w:color="auto" w:fill="auto"/>
            <w:noWrap/>
            <w:vAlign w:val="bottom"/>
            <w:hideMark/>
          </w:tcPr>
          <w:p w14:paraId="4FCDF9DC"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1.0063</w:t>
            </w:r>
          </w:p>
        </w:tc>
        <w:tc>
          <w:tcPr>
            <w:tcW w:w="1134" w:type="dxa"/>
            <w:tcBorders>
              <w:top w:val="nil"/>
              <w:left w:val="nil"/>
              <w:bottom w:val="nil"/>
              <w:right w:val="single" w:sz="4" w:space="0" w:color="auto"/>
            </w:tcBorders>
            <w:shd w:val="clear" w:color="auto" w:fill="auto"/>
            <w:noWrap/>
            <w:vAlign w:val="bottom"/>
            <w:hideMark/>
          </w:tcPr>
          <w:p w14:paraId="2BF74783"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1.0015</w:t>
            </w:r>
          </w:p>
        </w:tc>
        <w:tc>
          <w:tcPr>
            <w:tcW w:w="960" w:type="dxa"/>
            <w:tcBorders>
              <w:top w:val="nil"/>
              <w:left w:val="nil"/>
              <w:bottom w:val="nil"/>
              <w:right w:val="single" w:sz="4" w:space="0" w:color="auto"/>
            </w:tcBorders>
            <w:shd w:val="clear" w:color="auto" w:fill="auto"/>
            <w:noWrap/>
            <w:vAlign w:val="bottom"/>
            <w:hideMark/>
          </w:tcPr>
          <w:p w14:paraId="487F3738"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1.0013</w:t>
            </w:r>
          </w:p>
        </w:tc>
        <w:tc>
          <w:tcPr>
            <w:tcW w:w="960" w:type="dxa"/>
            <w:tcBorders>
              <w:top w:val="nil"/>
              <w:left w:val="nil"/>
              <w:bottom w:val="nil"/>
              <w:right w:val="nil"/>
            </w:tcBorders>
            <w:shd w:val="clear" w:color="auto" w:fill="auto"/>
            <w:noWrap/>
            <w:vAlign w:val="bottom"/>
            <w:hideMark/>
          </w:tcPr>
          <w:p w14:paraId="537635E3"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1.1027</w:t>
            </w:r>
          </w:p>
        </w:tc>
        <w:tc>
          <w:tcPr>
            <w:tcW w:w="960" w:type="dxa"/>
            <w:tcBorders>
              <w:top w:val="nil"/>
              <w:left w:val="single" w:sz="4" w:space="0" w:color="auto"/>
              <w:bottom w:val="nil"/>
              <w:right w:val="single" w:sz="4" w:space="0" w:color="auto"/>
            </w:tcBorders>
            <w:shd w:val="clear" w:color="auto" w:fill="auto"/>
            <w:noWrap/>
            <w:vAlign w:val="bottom"/>
            <w:hideMark/>
          </w:tcPr>
          <w:p w14:paraId="78FE176F"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1.1041</w:t>
            </w:r>
          </w:p>
        </w:tc>
      </w:tr>
      <w:tr w:rsidR="00A30676" w:rsidRPr="00B376C4" w14:paraId="6B8CBCC4"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18C848AD"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2009</w:t>
            </w:r>
          </w:p>
        </w:tc>
        <w:tc>
          <w:tcPr>
            <w:tcW w:w="1276" w:type="dxa"/>
            <w:tcBorders>
              <w:top w:val="nil"/>
              <w:left w:val="single" w:sz="4" w:space="0" w:color="auto"/>
              <w:bottom w:val="nil"/>
              <w:right w:val="single" w:sz="4" w:space="0" w:color="auto"/>
            </w:tcBorders>
            <w:shd w:val="clear" w:color="auto" w:fill="auto"/>
            <w:noWrap/>
            <w:vAlign w:val="bottom"/>
            <w:hideMark/>
          </w:tcPr>
          <w:p w14:paraId="5698C2B4"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1.0038</w:t>
            </w:r>
          </w:p>
        </w:tc>
        <w:tc>
          <w:tcPr>
            <w:tcW w:w="1134" w:type="dxa"/>
            <w:tcBorders>
              <w:top w:val="nil"/>
              <w:left w:val="nil"/>
              <w:bottom w:val="nil"/>
              <w:right w:val="single" w:sz="4" w:space="0" w:color="auto"/>
            </w:tcBorders>
            <w:shd w:val="clear" w:color="auto" w:fill="auto"/>
            <w:noWrap/>
            <w:vAlign w:val="bottom"/>
            <w:hideMark/>
          </w:tcPr>
          <w:p w14:paraId="3D725386"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1.0052</w:t>
            </w:r>
          </w:p>
        </w:tc>
        <w:tc>
          <w:tcPr>
            <w:tcW w:w="1134" w:type="dxa"/>
            <w:tcBorders>
              <w:top w:val="nil"/>
              <w:left w:val="nil"/>
              <w:bottom w:val="nil"/>
              <w:right w:val="single" w:sz="4" w:space="0" w:color="auto"/>
            </w:tcBorders>
            <w:shd w:val="clear" w:color="auto" w:fill="auto"/>
            <w:noWrap/>
            <w:vAlign w:val="bottom"/>
            <w:hideMark/>
          </w:tcPr>
          <w:p w14:paraId="65FB173D"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1.0090</w:t>
            </w:r>
          </w:p>
        </w:tc>
        <w:tc>
          <w:tcPr>
            <w:tcW w:w="960" w:type="dxa"/>
            <w:tcBorders>
              <w:top w:val="nil"/>
              <w:left w:val="nil"/>
              <w:bottom w:val="nil"/>
              <w:right w:val="single" w:sz="4" w:space="0" w:color="auto"/>
            </w:tcBorders>
            <w:shd w:val="clear" w:color="auto" w:fill="auto"/>
            <w:noWrap/>
            <w:vAlign w:val="bottom"/>
            <w:hideMark/>
          </w:tcPr>
          <w:p w14:paraId="6CB77E03"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1.0051</w:t>
            </w:r>
          </w:p>
        </w:tc>
        <w:tc>
          <w:tcPr>
            <w:tcW w:w="960" w:type="dxa"/>
            <w:tcBorders>
              <w:top w:val="nil"/>
              <w:left w:val="nil"/>
              <w:bottom w:val="nil"/>
              <w:right w:val="nil"/>
            </w:tcBorders>
            <w:shd w:val="clear" w:color="auto" w:fill="auto"/>
            <w:noWrap/>
            <w:vAlign w:val="bottom"/>
            <w:hideMark/>
          </w:tcPr>
          <w:p w14:paraId="566A26C9"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1.1084</w:t>
            </w:r>
          </w:p>
        </w:tc>
        <w:tc>
          <w:tcPr>
            <w:tcW w:w="960" w:type="dxa"/>
            <w:tcBorders>
              <w:top w:val="nil"/>
              <w:left w:val="single" w:sz="4" w:space="0" w:color="auto"/>
              <w:bottom w:val="nil"/>
              <w:right w:val="single" w:sz="4" w:space="0" w:color="auto"/>
            </w:tcBorders>
            <w:shd w:val="clear" w:color="auto" w:fill="auto"/>
            <w:noWrap/>
            <w:vAlign w:val="bottom"/>
            <w:hideMark/>
          </w:tcPr>
          <w:p w14:paraId="415EC3DD"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1.1140</w:t>
            </w:r>
          </w:p>
        </w:tc>
      </w:tr>
      <w:tr w:rsidR="00A30676" w:rsidRPr="00B376C4" w14:paraId="0BE5A956"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11328FFC"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2010</w:t>
            </w:r>
          </w:p>
        </w:tc>
        <w:tc>
          <w:tcPr>
            <w:tcW w:w="1276" w:type="dxa"/>
            <w:tcBorders>
              <w:top w:val="nil"/>
              <w:left w:val="single" w:sz="4" w:space="0" w:color="auto"/>
              <w:bottom w:val="nil"/>
              <w:right w:val="single" w:sz="4" w:space="0" w:color="auto"/>
            </w:tcBorders>
            <w:shd w:val="clear" w:color="auto" w:fill="auto"/>
            <w:noWrap/>
            <w:vAlign w:val="bottom"/>
            <w:hideMark/>
          </w:tcPr>
          <w:p w14:paraId="5BCA75DC"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1.0037</w:t>
            </w:r>
          </w:p>
        </w:tc>
        <w:tc>
          <w:tcPr>
            <w:tcW w:w="1134" w:type="dxa"/>
            <w:tcBorders>
              <w:top w:val="nil"/>
              <w:left w:val="nil"/>
              <w:bottom w:val="nil"/>
              <w:right w:val="single" w:sz="4" w:space="0" w:color="auto"/>
            </w:tcBorders>
            <w:shd w:val="clear" w:color="auto" w:fill="auto"/>
            <w:noWrap/>
            <w:vAlign w:val="bottom"/>
            <w:hideMark/>
          </w:tcPr>
          <w:p w14:paraId="0118656C"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1.0042</w:t>
            </w:r>
          </w:p>
        </w:tc>
        <w:tc>
          <w:tcPr>
            <w:tcW w:w="1134" w:type="dxa"/>
            <w:tcBorders>
              <w:top w:val="nil"/>
              <w:left w:val="nil"/>
              <w:bottom w:val="nil"/>
              <w:right w:val="single" w:sz="4" w:space="0" w:color="auto"/>
            </w:tcBorders>
            <w:shd w:val="clear" w:color="auto" w:fill="auto"/>
            <w:noWrap/>
            <w:vAlign w:val="bottom"/>
            <w:hideMark/>
          </w:tcPr>
          <w:p w14:paraId="1FF79450"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1.0079</w:t>
            </w:r>
          </w:p>
        </w:tc>
        <w:tc>
          <w:tcPr>
            <w:tcW w:w="960" w:type="dxa"/>
            <w:tcBorders>
              <w:top w:val="nil"/>
              <w:left w:val="nil"/>
              <w:bottom w:val="nil"/>
              <w:right w:val="single" w:sz="4" w:space="0" w:color="auto"/>
            </w:tcBorders>
            <w:shd w:val="clear" w:color="auto" w:fill="auto"/>
            <w:noWrap/>
            <w:vAlign w:val="bottom"/>
            <w:hideMark/>
          </w:tcPr>
          <w:p w14:paraId="78017DC1"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1.0088</w:t>
            </w:r>
          </w:p>
        </w:tc>
        <w:tc>
          <w:tcPr>
            <w:tcW w:w="960" w:type="dxa"/>
            <w:tcBorders>
              <w:top w:val="nil"/>
              <w:left w:val="nil"/>
              <w:bottom w:val="nil"/>
              <w:right w:val="nil"/>
            </w:tcBorders>
            <w:shd w:val="clear" w:color="auto" w:fill="auto"/>
            <w:noWrap/>
            <w:vAlign w:val="bottom"/>
            <w:hideMark/>
          </w:tcPr>
          <w:p w14:paraId="6C423F66"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1.1130</w:t>
            </w:r>
          </w:p>
        </w:tc>
        <w:tc>
          <w:tcPr>
            <w:tcW w:w="960" w:type="dxa"/>
            <w:tcBorders>
              <w:top w:val="nil"/>
              <w:left w:val="single" w:sz="4" w:space="0" w:color="auto"/>
              <w:bottom w:val="nil"/>
              <w:right w:val="single" w:sz="4" w:space="0" w:color="auto"/>
            </w:tcBorders>
            <w:shd w:val="clear" w:color="auto" w:fill="auto"/>
            <w:noWrap/>
            <w:vAlign w:val="bottom"/>
            <w:hideMark/>
          </w:tcPr>
          <w:p w14:paraId="44870C0A"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1.1228</w:t>
            </w:r>
          </w:p>
        </w:tc>
      </w:tr>
      <w:tr w:rsidR="00A30676" w:rsidRPr="00B376C4" w14:paraId="0DE79247"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049E0995"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2011</w:t>
            </w:r>
          </w:p>
        </w:tc>
        <w:tc>
          <w:tcPr>
            <w:tcW w:w="1276" w:type="dxa"/>
            <w:tcBorders>
              <w:top w:val="nil"/>
              <w:left w:val="single" w:sz="4" w:space="0" w:color="auto"/>
              <w:bottom w:val="nil"/>
              <w:right w:val="single" w:sz="4" w:space="0" w:color="auto"/>
            </w:tcBorders>
            <w:shd w:val="clear" w:color="auto" w:fill="auto"/>
            <w:noWrap/>
            <w:vAlign w:val="bottom"/>
            <w:hideMark/>
          </w:tcPr>
          <w:p w14:paraId="3DE25B97"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1.0042</w:t>
            </w:r>
          </w:p>
        </w:tc>
        <w:tc>
          <w:tcPr>
            <w:tcW w:w="1134" w:type="dxa"/>
            <w:tcBorders>
              <w:top w:val="nil"/>
              <w:left w:val="nil"/>
              <w:bottom w:val="nil"/>
              <w:right w:val="single" w:sz="4" w:space="0" w:color="auto"/>
            </w:tcBorders>
            <w:shd w:val="clear" w:color="auto" w:fill="auto"/>
            <w:noWrap/>
            <w:vAlign w:val="bottom"/>
            <w:hideMark/>
          </w:tcPr>
          <w:p w14:paraId="2FE08E1E"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1.0035</w:t>
            </w:r>
          </w:p>
        </w:tc>
        <w:tc>
          <w:tcPr>
            <w:tcW w:w="1134" w:type="dxa"/>
            <w:tcBorders>
              <w:top w:val="nil"/>
              <w:left w:val="nil"/>
              <w:bottom w:val="nil"/>
              <w:right w:val="single" w:sz="4" w:space="0" w:color="auto"/>
            </w:tcBorders>
            <w:shd w:val="clear" w:color="auto" w:fill="auto"/>
            <w:noWrap/>
            <w:vAlign w:val="bottom"/>
            <w:hideMark/>
          </w:tcPr>
          <w:p w14:paraId="54B8DBB4"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1.0077</w:t>
            </w:r>
          </w:p>
        </w:tc>
        <w:tc>
          <w:tcPr>
            <w:tcW w:w="960" w:type="dxa"/>
            <w:tcBorders>
              <w:top w:val="nil"/>
              <w:left w:val="nil"/>
              <w:bottom w:val="nil"/>
              <w:right w:val="single" w:sz="4" w:space="0" w:color="auto"/>
            </w:tcBorders>
            <w:shd w:val="clear" w:color="auto" w:fill="auto"/>
            <w:noWrap/>
            <w:vAlign w:val="bottom"/>
            <w:hideMark/>
          </w:tcPr>
          <w:p w14:paraId="52D17B2E"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1.0130</w:t>
            </w:r>
          </w:p>
        </w:tc>
        <w:tc>
          <w:tcPr>
            <w:tcW w:w="960" w:type="dxa"/>
            <w:tcBorders>
              <w:top w:val="nil"/>
              <w:left w:val="nil"/>
              <w:bottom w:val="nil"/>
              <w:right w:val="nil"/>
            </w:tcBorders>
            <w:shd w:val="clear" w:color="auto" w:fill="auto"/>
            <w:noWrap/>
            <w:vAlign w:val="bottom"/>
            <w:hideMark/>
          </w:tcPr>
          <w:p w14:paraId="496F780A"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1.1169</w:t>
            </w:r>
          </w:p>
        </w:tc>
        <w:tc>
          <w:tcPr>
            <w:tcW w:w="960" w:type="dxa"/>
            <w:tcBorders>
              <w:top w:val="nil"/>
              <w:left w:val="single" w:sz="4" w:space="0" w:color="auto"/>
              <w:bottom w:val="nil"/>
              <w:right w:val="single" w:sz="4" w:space="0" w:color="auto"/>
            </w:tcBorders>
            <w:shd w:val="clear" w:color="auto" w:fill="auto"/>
            <w:noWrap/>
            <w:vAlign w:val="bottom"/>
            <w:hideMark/>
          </w:tcPr>
          <w:p w14:paraId="545CF9CA"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1.1315</w:t>
            </w:r>
          </w:p>
        </w:tc>
      </w:tr>
      <w:tr w:rsidR="00A30676" w:rsidRPr="00B376C4" w14:paraId="0720BD88"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07E363BF"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2012</w:t>
            </w:r>
          </w:p>
        </w:tc>
        <w:tc>
          <w:tcPr>
            <w:tcW w:w="1276" w:type="dxa"/>
            <w:tcBorders>
              <w:top w:val="nil"/>
              <w:left w:val="single" w:sz="4" w:space="0" w:color="auto"/>
              <w:bottom w:val="nil"/>
              <w:right w:val="single" w:sz="4" w:space="0" w:color="auto"/>
            </w:tcBorders>
            <w:shd w:val="clear" w:color="auto" w:fill="auto"/>
            <w:noWrap/>
            <w:vAlign w:val="bottom"/>
            <w:hideMark/>
          </w:tcPr>
          <w:p w14:paraId="39764179"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0.9988</w:t>
            </w:r>
          </w:p>
        </w:tc>
        <w:tc>
          <w:tcPr>
            <w:tcW w:w="1134" w:type="dxa"/>
            <w:tcBorders>
              <w:top w:val="nil"/>
              <w:left w:val="nil"/>
              <w:bottom w:val="nil"/>
              <w:right w:val="single" w:sz="4" w:space="0" w:color="auto"/>
            </w:tcBorders>
            <w:shd w:val="clear" w:color="auto" w:fill="auto"/>
            <w:noWrap/>
            <w:vAlign w:val="bottom"/>
            <w:hideMark/>
          </w:tcPr>
          <w:p w14:paraId="08BA8372"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1.0031</w:t>
            </w:r>
          </w:p>
        </w:tc>
        <w:tc>
          <w:tcPr>
            <w:tcW w:w="1134" w:type="dxa"/>
            <w:tcBorders>
              <w:top w:val="nil"/>
              <w:left w:val="nil"/>
              <w:bottom w:val="nil"/>
              <w:right w:val="single" w:sz="4" w:space="0" w:color="auto"/>
            </w:tcBorders>
            <w:shd w:val="clear" w:color="auto" w:fill="auto"/>
            <w:noWrap/>
            <w:vAlign w:val="bottom"/>
            <w:hideMark/>
          </w:tcPr>
          <w:p w14:paraId="765160A3"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1.0019</w:t>
            </w:r>
          </w:p>
        </w:tc>
        <w:tc>
          <w:tcPr>
            <w:tcW w:w="960" w:type="dxa"/>
            <w:tcBorders>
              <w:top w:val="nil"/>
              <w:left w:val="nil"/>
              <w:bottom w:val="nil"/>
              <w:right w:val="single" w:sz="4" w:space="0" w:color="auto"/>
            </w:tcBorders>
            <w:shd w:val="clear" w:color="auto" w:fill="auto"/>
            <w:noWrap/>
            <w:vAlign w:val="bottom"/>
            <w:hideMark/>
          </w:tcPr>
          <w:p w14:paraId="2AF53E35"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1.0118</w:t>
            </w:r>
          </w:p>
        </w:tc>
        <w:tc>
          <w:tcPr>
            <w:tcW w:w="960" w:type="dxa"/>
            <w:tcBorders>
              <w:top w:val="nil"/>
              <w:left w:val="nil"/>
              <w:bottom w:val="nil"/>
              <w:right w:val="nil"/>
            </w:tcBorders>
            <w:shd w:val="clear" w:color="auto" w:fill="auto"/>
            <w:noWrap/>
            <w:vAlign w:val="bottom"/>
            <w:hideMark/>
          </w:tcPr>
          <w:p w14:paraId="1D604DCC"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1.1204</w:t>
            </w:r>
          </w:p>
        </w:tc>
        <w:tc>
          <w:tcPr>
            <w:tcW w:w="960" w:type="dxa"/>
            <w:tcBorders>
              <w:top w:val="nil"/>
              <w:left w:val="single" w:sz="4" w:space="0" w:color="auto"/>
              <w:bottom w:val="nil"/>
              <w:right w:val="single" w:sz="4" w:space="0" w:color="auto"/>
            </w:tcBorders>
            <w:shd w:val="clear" w:color="auto" w:fill="auto"/>
            <w:noWrap/>
            <w:vAlign w:val="bottom"/>
            <w:hideMark/>
          </w:tcPr>
          <w:p w14:paraId="12955D16"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1.1336</w:t>
            </w:r>
          </w:p>
        </w:tc>
      </w:tr>
      <w:tr w:rsidR="00A30676" w:rsidRPr="00B376C4" w14:paraId="678DE947"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0E13C827"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2013</w:t>
            </w:r>
          </w:p>
        </w:tc>
        <w:tc>
          <w:tcPr>
            <w:tcW w:w="1276" w:type="dxa"/>
            <w:tcBorders>
              <w:top w:val="nil"/>
              <w:left w:val="single" w:sz="4" w:space="0" w:color="auto"/>
              <w:bottom w:val="nil"/>
              <w:right w:val="single" w:sz="4" w:space="0" w:color="auto"/>
            </w:tcBorders>
            <w:shd w:val="clear" w:color="auto" w:fill="auto"/>
            <w:noWrap/>
            <w:vAlign w:val="bottom"/>
            <w:hideMark/>
          </w:tcPr>
          <w:p w14:paraId="27F2270F"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0.9984</w:t>
            </w:r>
          </w:p>
        </w:tc>
        <w:tc>
          <w:tcPr>
            <w:tcW w:w="1134" w:type="dxa"/>
            <w:tcBorders>
              <w:top w:val="nil"/>
              <w:left w:val="nil"/>
              <w:bottom w:val="nil"/>
              <w:right w:val="single" w:sz="4" w:space="0" w:color="auto"/>
            </w:tcBorders>
            <w:shd w:val="clear" w:color="auto" w:fill="auto"/>
            <w:noWrap/>
            <w:vAlign w:val="bottom"/>
            <w:hideMark/>
          </w:tcPr>
          <w:p w14:paraId="0FD12858"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1.0026</w:t>
            </w:r>
          </w:p>
        </w:tc>
        <w:tc>
          <w:tcPr>
            <w:tcW w:w="1134" w:type="dxa"/>
            <w:tcBorders>
              <w:top w:val="nil"/>
              <w:left w:val="nil"/>
              <w:bottom w:val="nil"/>
              <w:right w:val="single" w:sz="4" w:space="0" w:color="auto"/>
            </w:tcBorders>
            <w:shd w:val="clear" w:color="auto" w:fill="auto"/>
            <w:noWrap/>
            <w:vAlign w:val="bottom"/>
            <w:hideMark/>
          </w:tcPr>
          <w:p w14:paraId="66056CCB"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1.0010</w:t>
            </w:r>
          </w:p>
        </w:tc>
        <w:tc>
          <w:tcPr>
            <w:tcW w:w="960" w:type="dxa"/>
            <w:tcBorders>
              <w:top w:val="nil"/>
              <w:left w:val="nil"/>
              <w:bottom w:val="nil"/>
              <w:right w:val="single" w:sz="4" w:space="0" w:color="auto"/>
            </w:tcBorders>
            <w:shd w:val="clear" w:color="auto" w:fill="auto"/>
            <w:noWrap/>
            <w:vAlign w:val="bottom"/>
            <w:hideMark/>
          </w:tcPr>
          <w:p w14:paraId="792B83C1"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1.0102</w:t>
            </w:r>
          </w:p>
        </w:tc>
        <w:tc>
          <w:tcPr>
            <w:tcW w:w="960" w:type="dxa"/>
            <w:tcBorders>
              <w:top w:val="nil"/>
              <w:left w:val="nil"/>
              <w:bottom w:val="nil"/>
              <w:right w:val="nil"/>
            </w:tcBorders>
            <w:shd w:val="clear" w:color="auto" w:fill="auto"/>
            <w:noWrap/>
            <w:vAlign w:val="bottom"/>
            <w:hideMark/>
          </w:tcPr>
          <w:p w14:paraId="156A856B"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1.1233</w:t>
            </w:r>
          </w:p>
        </w:tc>
        <w:tc>
          <w:tcPr>
            <w:tcW w:w="960" w:type="dxa"/>
            <w:tcBorders>
              <w:top w:val="nil"/>
              <w:left w:val="single" w:sz="4" w:space="0" w:color="auto"/>
              <w:bottom w:val="nil"/>
              <w:right w:val="single" w:sz="4" w:space="0" w:color="auto"/>
            </w:tcBorders>
            <w:shd w:val="clear" w:color="auto" w:fill="auto"/>
            <w:noWrap/>
            <w:vAlign w:val="bottom"/>
            <w:hideMark/>
          </w:tcPr>
          <w:p w14:paraId="328D088D"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1.1348</w:t>
            </w:r>
          </w:p>
        </w:tc>
      </w:tr>
      <w:tr w:rsidR="00A30676" w:rsidRPr="00B376C4" w14:paraId="0C8A92B6" w14:textId="77777777" w:rsidTr="003D0E85">
        <w:trPr>
          <w:trHeight w:val="288"/>
        </w:trPr>
        <w:tc>
          <w:tcPr>
            <w:tcW w:w="1838" w:type="dxa"/>
            <w:tcBorders>
              <w:top w:val="nil"/>
              <w:left w:val="single" w:sz="4" w:space="0" w:color="auto"/>
              <w:bottom w:val="nil"/>
              <w:right w:val="nil"/>
            </w:tcBorders>
            <w:shd w:val="clear" w:color="auto" w:fill="auto"/>
            <w:noWrap/>
            <w:vAlign w:val="bottom"/>
            <w:hideMark/>
          </w:tcPr>
          <w:p w14:paraId="4A3B43C0"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2014</w:t>
            </w:r>
          </w:p>
        </w:tc>
        <w:tc>
          <w:tcPr>
            <w:tcW w:w="1276" w:type="dxa"/>
            <w:tcBorders>
              <w:top w:val="nil"/>
              <w:left w:val="single" w:sz="4" w:space="0" w:color="auto"/>
              <w:bottom w:val="nil"/>
              <w:right w:val="single" w:sz="4" w:space="0" w:color="auto"/>
            </w:tcBorders>
            <w:shd w:val="clear" w:color="auto" w:fill="auto"/>
            <w:noWrap/>
            <w:vAlign w:val="bottom"/>
            <w:hideMark/>
          </w:tcPr>
          <w:p w14:paraId="5EA2F95C"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0.9989</w:t>
            </w:r>
          </w:p>
        </w:tc>
        <w:tc>
          <w:tcPr>
            <w:tcW w:w="1134" w:type="dxa"/>
            <w:tcBorders>
              <w:top w:val="nil"/>
              <w:left w:val="nil"/>
              <w:bottom w:val="nil"/>
              <w:right w:val="single" w:sz="4" w:space="0" w:color="auto"/>
            </w:tcBorders>
            <w:shd w:val="clear" w:color="auto" w:fill="auto"/>
            <w:noWrap/>
            <w:vAlign w:val="bottom"/>
            <w:hideMark/>
          </w:tcPr>
          <w:p w14:paraId="2D452BBE"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1.0021</w:t>
            </w:r>
          </w:p>
        </w:tc>
        <w:tc>
          <w:tcPr>
            <w:tcW w:w="1134" w:type="dxa"/>
            <w:tcBorders>
              <w:top w:val="nil"/>
              <w:left w:val="nil"/>
              <w:bottom w:val="nil"/>
              <w:right w:val="single" w:sz="4" w:space="0" w:color="auto"/>
            </w:tcBorders>
            <w:shd w:val="clear" w:color="auto" w:fill="auto"/>
            <w:noWrap/>
            <w:vAlign w:val="bottom"/>
            <w:hideMark/>
          </w:tcPr>
          <w:p w14:paraId="51ABF263"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1.0010</w:t>
            </w:r>
          </w:p>
        </w:tc>
        <w:tc>
          <w:tcPr>
            <w:tcW w:w="960" w:type="dxa"/>
            <w:tcBorders>
              <w:top w:val="nil"/>
              <w:left w:val="nil"/>
              <w:bottom w:val="nil"/>
              <w:right w:val="single" w:sz="4" w:space="0" w:color="auto"/>
            </w:tcBorders>
            <w:shd w:val="clear" w:color="auto" w:fill="auto"/>
            <w:noWrap/>
            <w:vAlign w:val="bottom"/>
            <w:hideMark/>
          </w:tcPr>
          <w:p w14:paraId="4C7E9C0D"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1.0091</w:t>
            </w:r>
          </w:p>
        </w:tc>
        <w:tc>
          <w:tcPr>
            <w:tcW w:w="960" w:type="dxa"/>
            <w:tcBorders>
              <w:top w:val="nil"/>
              <w:left w:val="nil"/>
              <w:bottom w:val="nil"/>
              <w:right w:val="nil"/>
            </w:tcBorders>
            <w:shd w:val="clear" w:color="auto" w:fill="auto"/>
            <w:noWrap/>
            <w:vAlign w:val="bottom"/>
            <w:hideMark/>
          </w:tcPr>
          <w:p w14:paraId="303581A1"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1.1257</w:t>
            </w:r>
          </w:p>
        </w:tc>
        <w:tc>
          <w:tcPr>
            <w:tcW w:w="960" w:type="dxa"/>
            <w:tcBorders>
              <w:top w:val="nil"/>
              <w:left w:val="single" w:sz="4" w:space="0" w:color="auto"/>
              <w:bottom w:val="nil"/>
              <w:right w:val="single" w:sz="4" w:space="0" w:color="auto"/>
            </w:tcBorders>
            <w:shd w:val="clear" w:color="auto" w:fill="auto"/>
            <w:noWrap/>
            <w:vAlign w:val="bottom"/>
            <w:hideMark/>
          </w:tcPr>
          <w:p w14:paraId="0FBACE57"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1.1359</w:t>
            </w:r>
          </w:p>
        </w:tc>
      </w:tr>
      <w:tr w:rsidR="00A30676" w:rsidRPr="00B376C4" w14:paraId="7AB4A736" w14:textId="77777777" w:rsidTr="003D0E85">
        <w:trPr>
          <w:trHeight w:val="288"/>
        </w:trPr>
        <w:tc>
          <w:tcPr>
            <w:tcW w:w="1838" w:type="dxa"/>
            <w:tcBorders>
              <w:top w:val="nil"/>
              <w:left w:val="single" w:sz="4" w:space="0" w:color="auto"/>
              <w:bottom w:val="single" w:sz="4" w:space="0" w:color="auto"/>
              <w:right w:val="nil"/>
            </w:tcBorders>
            <w:shd w:val="clear" w:color="auto" w:fill="auto"/>
            <w:noWrap/>
            <w:vAlign w:val="bottom"/>
            <w:hideMark/>
          </w:tcPr>
          <w:p w14:paraId="3B2AFEF3"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2015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B8377E8"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0.9949</w:t>
            </w:r>
          </w:p>
        </w:tc>
        <w:tc>
          <w:tcPr>
            <w:tcW w:w="1134" w:type="dxa"/>
            <w:tcBorders>
              <w:top w:val="nil"/>
              <w:left w:val="nil"/>
              <w:bottom w:val="single" w:sz="4" w:space="0" w:color="auto"/>
              <w:right w:val="single" w:sz="4" w:space="0" w:color="auto"/>
            </w:tcBorders>
            <w:shd w:val="clear" w:color="auto" w:fill="auto"/>
            <w:noWrap/>
            <w:vAlign w:val="bottom"/>
            <w:hideMark/>
          </w:tcPr>
          <w:p w14:paraId="7D9BF1FE"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1.0019</w:t>
            </w:r>
          </w:p>
        </w:tc>
        <w:tc>
          <w:tcPr>
            <w:tcW w:w="1134" w:type="dxa"/>
            <w:tcBorders>
              <w:top w:val="nil"/>
              <w:left w:val="nil"/>
              <w:bottom w:val="single" w:sz="4" w:space="0" w:color="auto"/>
              <w:right w:val="single" w:sz="4" w:space="0" w:color="auto"/>
            </w:tcBorders>
            <w:shd w:val="clear" w:color="auto" w:fill="auto"/>
            <w:noWrap/>
            <w:vAlign w:val="bottom"/>
            <w:hideMark/>
          </w:tcPr>
          <w:p w14:paraId="629FA112"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0.9967</w:t>
            </w:r>
          </w:p>
        </w:tc>
        <w:tc>
          <w:tcPr>
            <w:tcW w:w="960" w:type="dxa"/>
            <w:tcBorders>
              <w:top w:val="nil"/>
              <w:left w:val="nil"/>
              <w:bottom w:val="single" w:sz="4" w:space="0" w:color="auto"/>
              <w:right w:val="single" w:sz="4" w:space="0" w:color="auto"/>
            </w:tcBorders>
            <w:shd w:val="clear" w:color="auto" w:fill="auto"/>
            <w:noWrap/>
            <w:vAlign w:val="bottom"/>
            <w:hideMark/>
          </w:tcPr>
          <w:p w14:paraId="20F31CDD"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1.0039</w:t>
            </w:r>
          </w:p>
        </w:tc>
        <w:tc>
          <w:tcPr>
            <w:tcW w:w="960" w:type="dxa"/>
            <w:tcBorders>
              <w:top w:val="nil"/>
              <w:left w:val="nil"/>
              <w:bottom w:val="single" w:sz="4" w:space="0" w:color="auto"/>
              <w:right w:val="nil"/>
            </w:tcBorders>
            <w:shd w:val="clear" w:color="auto" w:fill="auto"/>
            <w:noWrap/>
            <w:vAlign w:val="bottom"/>
            <w:hideMark/>
          </w:tcPr>
          <w:p w14:paraId="29A6FE49"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1.1278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76129C"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1.1322</w:t>
            </w:r>
          </w:p>
        </w:tc>
      </w:tr>
      <w:tr w:rsidR="00A30676" w:rsidRPr="00B376C4" w14:paraId="49F254D0" w14:textId="77777777" w:rsidTr="003D0E85">
        <w:trPr>
          <w:trHeight w:val="28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7FB9D3"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Annual Average</w:t>
            </w:r>
          </w:p>
        </w:tc>
        <w:tc>
          <w:tcPr>
            <w:tcW w:w="1276" w:type="dxa"/>
            <w:tcBorders>
              <w:top w:val="nil"/>
              <w:left w:val="nil"/>
              <w:bottom w:val="single" w:sz="4" w:space="0" w:color="auto"/>
              <w:right w:val="single" w:sz="4" w:space="0" w:color="auto"/>
            </w:tcBorders>
            <w:shd w:val="clear" w:color="auto" w:fill="auto"/>
            <w:noWrap/>
            <w:vAlign w:val="bottom"/>
            <w:hideMark/>
          </w:tcPr>
          <w:p w14:paraId="6208D38E"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1.0002</w:t>
            </w:r>
          </w:p>
        </w:tc>
        <w:tc>
          <w:tcPr>
            <w:tcW w:w="1134" w:type="dxa"/>
            <w:tcBorders>
              <w:top w:val="nil"/>
              <w:left w:val="nil"/>
              <w:bottom w:val="single" w:sz="4" w:space="0" w:color="auto"/>
              <w:right w:val="single" w:sz="4" w:space="0" w:color="auto"/>
            </w:tcBorders>
            <w:shd w:val="clear" w:color="auto" w:fill="auto"/>
            <w:noWrap/>
            <w:vAlign w:val="bottom"/>
            <w:hideMark/>
          </w:tcPr>
          <w:p w14:paraId="07A8CAD4"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1.0067</w:t>
            </w:r>
          </w:p>
        </w:tc>
        <w:tc>
          <w:tcPr>
            <w:tcW w:w="1134" w:type="dxa"/>
            <w:tcBorders>
              <w:top w:val="nil"/>
              <w:left w:val="nil"/>
              <w:bottom w:val="single" w:sz="4" w:space="0" w:color="auto"/>
              <w:right w:val="single" w:sz="4" w:space="0" w:color="auto"/>
            </w:tcBorders>
            <w:shd w:val="clear" w:color="auto" w:fill="auto"/>
            <w:noWrap/>
            <w:vAlign w:val="bottom"/>
            <w:hideMark/>
          </w:tcPr>
          <w:p w14:paraId="7179CB21"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1.0069</w:t>
            </w:r>
          </w:p>
        </w:tc>
        <w:tc>
          <w:tcPr>
            <w:tcW w:w="960" w:type="dxa"/>
            <w:tcBorders>
              <w:top w:val="nil"/>
              <w:left w:val="nil"/>
              <w:bottom w:val="nil"/>
              <w:right w:val="single" w:sz="4" w:space="0" w:color="auto"/>
            </w:tcBorders>
            <w:shd w:val="clear" w:color="auto" w:fill="auto"/>
            <w:noWrap/>
            <w:vAlign w:val="bottom"/>
            <w:hideMark/>
          </w:tcPr>
          <w:p w14:paraId="68729FF4"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06F544C" w14:textId="77777777" w:rsidR="00A30676" w:rsidRPr="00B376C4" w:rsidRDefault="00A30676" w:rsidP="003D0E85">
            <w:pPr>
              <w:spacing w:after="0" w:line="240" w:lineRule="auto"/>
              <w:rPr>
                <w:rFonts w:ascii="Calibri" w:eastAsia="Times New Roman" w:hAnsi="Calibri" w:cs="Calibri"/>
                <w:color w:val="000000"/>
                <w:lang w:eastAsia="en-GB"/>
              </w:rPr>
            </w:pPr>
          </w:p>
        </w:tc>
        <w:tc>
          <w:tcPr>
            <w:tcW w:w="960" w:type="dxa"/>
            <w:tcBorders>
              <w:top w:val="nil"/>
              <w:left w:val="single" w:sz="4" w:space="0" w:color="auto"/>
              <w:bottom w:val="nil"/>
              <w:right w:val="single" w:sz="4" w:space="0" w:color="auto"/>
            </w:tcBorders>
            <w:shd w:val="clear" w:color="auto" w:fill="auto"/>
            <w:noWrap/>
            <w:vAlign w:val="bottom"/>
            <w:hideMark/>
          </w:tcPr>
          <w:p w14:paraId="1A01965E"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 </w:t>
            </w:r>
          </w:p>
        </w:tc>
      </w:tr>
      <w:tr w:rsidR="00A30676" w:rsidRPr="00B376C4" w14:paraId="4052275E" w14:textId="77777777" w:rsidTr="003D0E85">
        <w:trPr>
          <w:trHeight w:val="288"/>
        </w:trPr>
        <w:tc>
          <w:tcPr>
            <w:tcW w:w="3114" w:type="dxa"/>
            <w:gridSpan w:val="2"/>
            <w:tcBorders>
              <w:top w:val="nil"/>
              <w:left w:val="single" w:sz="4" w:space="0" w:color="auto"/>
              <w:bottom w:val="single" w:sz="4" w:space="0" w:color="auto"/>
              <w:right w:val="nil"/>
            </w:tcBorders>
            <w:shd w:val="clear" w:color="auto" w:fill="auto"/>
            <w:noWrap/>
            <w:vAlign w:val="bottom"/>
            <w:hideMark/>
          </w:tcPr>
          <w:p w14:paraId="70AC8008"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Cumulative Values</w:t>
            </w:r>
          </w:p>
        </w:tc>
        <w:tc>
          <w:tcPr>
            <w:tcW w:w="1134" w:type="dxa"/>
            <w:tcBorders>
              <w:top w:val="nil"/>
              <w:left w:val="nil"/>
              <w:bottom w:val="single" w:sz="4" w:space="0" w:color="auto"/>
              <w:right w:val="nil"/>
            </w:tcBorders>
            <w:shd w:val="clear" w:color="auto" w:fill="auto"/>
            <w:noWrap/>
            <w:vAlign w:val="bottom"/>
            <w:hideMark/>
          </w:tcPr>
          <w:p w14:paraId="24B8B642"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 </w:t>
            </w:r>
          </w:p>
        </w:tc>
        <w:tc>
          <w:tcPr>
            <w:tcW w:w="1134" w:type="dxa"/>
            <w:tcBorders>
              <w:top w:val="nil"/>
              <w:left w:val="nil"/>
              <w:bottom w:val="single" w:sz="4" w:space="0" w:color="auto"/>
              <w:right w:val="nil"/>
            </w:tcBorders>
            <w:shd w:val="clear" w:color="auto" w:fill="auto"/>
            <w:noWrap/>
            <w:vAlign w:val="bottom"/>
            <w:hideMark/>
          </w:tcPr>
          <w:p w14:paraId="5D34C57C" w14:textId="77777777" w:rsidR="00A30676" w:rsidRPr="00B376C4" w:rsidRDefault="00A30676" w:rsidP="003D0E85">
            <w:pPr>
              <w:spacing w:after="0" w:line="240" w:lineRule="auto"/>
              <w:rPr>
                <w:rFonts w:ascii="Calibri" w:eastAsia="Times New Roman" w:hAnsi="Calibri" w:cs="Calibri"/>
                <w:color w:val="000000"/>
                <w:lang w:eastAsia="en-GB"/>
              </w:rPr>
            </w:pPr>
            <w:r w:rsidRPr="00B376C4">
              <w:rPr>
                <w:rFonts w:ascii="Calibri" w:eastAsia="Times New Roman" w:hAnsi="Calibri" w:cs="Calibri"/>
                <w:color w:val="00000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91923"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1.0039</w:t>
            </w:r>
          </w:p>
        </w:tc>
        <w:tc>
          <w:tcPr>
            <w:tcW w:w="960" w:type="dxa"/>
            <w:tcBorders>
              <w:top w:val="single" w:sz="4" w:space="0" w:color="auto"/>
              <w:left w:val="nil"/>
              <w:bottom w:val="single" w:sz="4" w:space="0" w:color="auto"/>
              <w:right w:val="nil"/>
            </w:tcBorders>
            <w:shd w:val="clear" w:color="auto" w:fill="auto"/>
            <w:noWrap/>
            <w:vAlign w:val="bottom"/>
            <w:hideMark/>
          </w:tcPr>
          <w:p w14:paraId="42962D8E"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1.1278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7243" w14:textId="77777777" w:rsidR="00A30676" w:rsidRPr="00B376C4" w:rsidRDefault="00A30676" w:rsidP="003D0E85">
            <w:pPr>
              <w:spacing w:after="0" w:line="240" w:lineRule="auto"/>
              <w:jc w:val="right"/>
              <w:rPr>
                <w:rFonts w:ascii="Calibri" w:eastAsia="Times New Roman" w:hAnsi="Calibri" w:cs="Calibri"/>
                <w:color w:val="000000"/>
                <w:lang w:eastAsia="en-GB"/>
              </w:rPr>
            </w:pPr>
            <w:r w:rsidRPr="00B376C4">
              <w:rPr>
                <w:rFonts w:ascii="Calibri" w:eastAsia="Times New Roman" w:hAnsi="Calibri" w:cs="Calibri"/>
                <w:color w:val="000000"/>
                <w:lang w:eastAsia="en-GB"/>
              </w:rPr>
              <w:t>1.1322</w:t>
            </w:r>
          </w:p>
        </w:tc>
      </w:tr>
    </w:tbl>
    <w:p w14:paraId="2ABD0F60" w14:textId="77777777" w:rsidR="00A30676" w:rsidRDefault="00A30676" w:rsidP="00A30676"/>
    <w:p w14:paraId="505C6977" w14:textId="660AB7F1" w:rsidR="00A30676" w:rsidRDefault="00A30676" w:rsidP="00A30676">
      <w:r>
        <w:t xml:space="preserve">In terms of overall means, these are almost identical to the COLS results, and whilst a high degree of consistency was expected from the two methods, the level </w:t>
      </w:r>
      <w:r w:rsidR="000B1C73">
        <w:t xml:space="preserve">found </w:t>
      </w:r>
      <w:r w:rsidR="00D070F7">
        <w:t xml:space="preserve">even </w:t>
      </w:r>
      <w:r>
        <w:t xml:space="preserve">exceeds those prior expectations.  Again, a very high consistency is shown in Technical Change, and as before, </w:t>
      </w:r>
      <w:r w:rsidR="001722EF">
        <w:t>this</w:t>
      </w:r>
      <w:r>
        <w:t xml:space="preserve"> is estimated to increase at a decreasing rate across the whole period.  Where the major difference occurs between the stochastic and the COLS is in the results relating to efficiency change, and this is shown more clearly in the </w:t>
      </w:r>
      <w:r w:rsidR="00F65EFF">
        <w:t>Figure 4</w:t>
      </w:r>
      <w:r>
        <w:t>.</w:t>
      </w:r>
    </w:p>
    <w:p w14:paraId="1E13BE6B" w14:textId="77777777" w:rsidR="00ED1301" w:rsidRDefault="00ED1301">
      <w:r>
        <w:br w:type="page"/>
      </w:r>
    </w:p>
    <w:p w14:paraId="0446DB1E" w14:textId="16D9014E" w:rsidR="00A30676" w:rsidRDefault="00A30676" w:rsidP="00A30676">
      <w:r>
        <w:t xml:space="preserve">Figure </w:t>
      </w:r>
      <w:r w:rsidR="003D0E85">
        <w:t>4</w:t>
      </w:r>
      <w:r>
        <w:t xml:space="preserve"> – British Passenger Rail Productivity, TFP, EC, TC, 1998 to 2015, Stochastic Frontier Based Estimates</w:t>
      </w:r>
    </w:p>
    <w:p w14:paraId="2D50BC0E" w14:textId="77777777" w:rsidR="00A30676" w:rsidRDefault="00A30676" w:rsidP="00A30676">
      <w:pPr>
        <w:jc w:val="center"/>
      </w:pPr>
      <w:r>
        <w:rPr>
          <w:noProof/>
          <w:lang w:eastAsia="en-GB"/>
        </w:rPr>
        <w:drawing>
          <wp:inline distT="0" distB="0" distL="0" distR="0" wp14:anchorId="1A4EBAD9" wp14:editId="5962DD90">
            <wp:extent cx="3762375" cy="2743200"/>
            <wp:effectExtent l="0" t="0" r="9525" b="0"/>
            <wp:docPr id="9" name="Chart 9">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288B3E" w14:textId="74A09A11" w:rsidR="000B1C73" w:rsidRDefault="00A30676" w:rsidP="00A30676">
      <w:r>
        <w:t>What the stochastic method has produced</w:t>
      </w:r>
      <w:r w:rsidR="000B1C73">
        <w:t>,</w:t>
      </w:r>
      <w:r>
        <w:t xml:space="preserve"> </w:t>
      </w:r>
      <w:r w:rsidR="000B1C73">
        <w:t xml:space="preserve">in marked contrast to the DEA and COLS results, </w:t>
      </w:r>
      <w:r>
        <w:t xml:space="preserve">are very low estimates of EC, </w:t>
      </w:r>
      <w:r w:rsidR="000B1C73">
        <w:t>which</w:t>
      </w:r>
      <w:r>
        <w:t xml:space="preserve"> in terms of the</w:t>
      </w:r>
      <w:r w:rsidR="000B1C73">
        <w:t xml:space="preserve"> annual</w:t>
      </w:r>
      <w:r>
        <w:t xml:space="preserve"> mean</w:t>
      </w:r>
      <w:r w:rsidR="000B1C73">
        <w:t>s</w:t>
      </w:r>
      <w:r>
        <w:t xml:space="preserve">, hardly vary </w:t>
      </w:r>
      <w:r w:rsidR="000B1C73">
        <w:t>and a</w:t>
      </w:r>
      <w:r>
        <w:t xml:space="preserve">ll </w:t>
      </w:r>
      <w:r w:rsidR="0085320A">
        <w:t xml:space="preserve">are </w:t>
      </w:r>
      <w:r>
        <w:t>found</w:t>
      </w:r>
      <w:r w:rsidR="00F65EFF">
        <w:t xml:space="preserve"> to lie </w:t>
      </w:r>
      <w:r w:rsidR="000B1C73">
        <w:t xml:space="preserve">within a </w:t>
      </w:r>
      <w:r w:rsidR="0085320A">
        <w:t xml:space="preserve">very small </w:t>
      </w:r>
      <w:r w:rsidR="000B1C73">
        <w:t xml:space="preserve">range </w:t>
      </w:r>
      <w:r w:rsidR="0085320A">
        <w:t>(</w:t>
      </w:r>
      <w:r w:rsidR="000B1C73">
        <w:t>1.3%</w:t>
      </w:r>
      <w:r w:rsidR="0085320A">
        <w:t>)</w:t>
      </w:r>
      <w:r>
        <w:t xml:space="preserve">.  </w:t>
      </w:r>
      <w:r w:rsidR="00ED1301">
        <w:t>A</w:t>
      </w:r>
      <w:r>
        <w:t xml:space="preserve"> concern is that these are almost too consistent, and that this very small level of variation from one year to another strongly suggests that the random component in the stochastic frontier ha</w:t>
      </w:r>
      <w:r w:rsidR="00357672">
        <w:t xml:space="preserve">d the effect of </w:t>
      </w:r>
      <w:r>
        <w:t>modell</w:t>
      </w:r>
      <w:r w:rsidR="00357672">
        <w:t>ing</w:t>
      </w:r>
      <w:r>
        <w:t xml:space="preserve"> efficiency change over time.  </w:t>
      </w:r>
      <w:r w:rsidR="00F965AB">
        <w:t>An example given by Coelli et al (199</w:t>
      </w:r>
      <w:r w:rsidR="00152C8C">
        <w:t>8</w:t>
      </w:r>
      <w:r w:rsidR="00F965AB">
        <w:t>) of productivity in the Australian electricity industry similar</w:t>
      </w:r>
      <w:r w:rsidR="005814D7">
        <w:t>ly</w:t>
      </w:r>
      <w:r w:rsidR="00F965AB">
        <w:t xml:space="preserve"> shows a very clear trend in the annual average efficiency change estimates, in </w:t>
      </w:r>
      <w:r w:rsidR="005814D7">
        <w:t>that</w:t>
      </w:r>
      <w:r w:rsidR="00F965AB">
        <w:t xml:space="preserve"> case one of </w:t>
      </w:r>
      <w:r w:rsidR="005814D7">
        <w:t xml:space="preserve">a </w:t>
      </w:r>
      <w:r w:rsidR="00F965AB">
        <w:t xml:space="preserve">slowly declining EC.  </w:t>
      </w:r>
      <w:r>
        <w:t xml:space="preserve">This evening out of short run deviations from the long-term trend in many respects is an unwanted aspect of this analysis, as one of the points of interest was not only if efficiency had improved in the industry, but if so </w:t>
      </w:r>
      <w:r w:rsidR="000B1C73">
        <w:t>how that had developed over the period</w:t>
      </w:r>
      <w:r w:rsidR="00F965AB">
        <w:t>.</w:t>
      </w:r>
      <w:r w:rsidR="00ED1301">
        <w:t xml:space="preserve">  </w:t>
      </w:r>
    </w:p>
    <w:p w14:paraId="400E068E" w14:textId="77777777" w:rsidR="00ED1301" w:rsidRDefault="00ED1301" w:rsidP="00A30676"/>
    <w:p w14:paraId="1A18E304" w14:textId="50437F47" w:rsidR="00A30676" w:rsidRDefault="00357672" w:rsidP="00F65EFF">
      <w:pPr>
        <w:pStyle w:val="Heading3"/>
      </w:pPr>
      <w:r>
        <w:t xml:space="preserve">6.5 Productivity </w:t>
      </w:r>
      <w:r w:rsidR="00A30676">
        <w:t>Results by Sector</w:t>
      </w:r>
    </w:p>
    <w:p w14:paraId="47C9C414" w14:textId="36343F4D" w:rsidR="00A30676" w:rsidRDefault="00A30676" w:rsidP="00A30676">
      <w:r>
        <w:t xml:space="preserve">One final aspect considered is to break the TFP results down by market sector, in order to examine if TFP improvement </w:t>
      </w:r>
      <w:r w:rsidR="001D179F">
        <w:t>has been</w:t>
      </w:r>
      <w:r>
        <w:t xml:space="preserve"> consistent across the whole industry</w:t>
      </w:r>
      <w:r w:rsidR="001D179F">
        <w:t xml:space="preserve">.  Due to space </w:t>
      </w:r>
      <w:r w:rsidR="00ED1301">
        <w:t>considerations</w:t>
      </w:r>
      <w:r w:rsidR="005814D7">
        <w:t xml:space="preserve"> </w:t>
      </w:r>
      <w:r w:rsidR="001D179F">
        <w:t>and</w:t>
      </w:r>
      <w:r w:rsidR="005814D7">
        <w:t xml:space="preserve"> also</w:t>
      </w:r>
      <w:r w:rsidR="001D179F">
        <w:t xml:space="preserve"> potential loss of focus, </w:t>
      </w:r>
      <w:r w:rsidR="00ED1301">
        <w:t xml:space="preserve">Table 5 </w:t>
      </w:r>
      <w:r w:rsidR="001D179F">
        <w:t xml:space="preserve">only </w:t>
      </w:r>
      <w:r w:rsidR="00ED1301">
        <w:t xml:space="preserve">shows the </w:t>
      </w:r>
      <w:r w:rsidR="001D179F">
        <w:t xml:space="preserve">COLS estimates, however </w:t>
      </w:r>
      <w:r w:rsidR="003776C8">
        <w:t xml:space="preserve">in terms of direction and relative differences, </w:t>
      </w:r>
      <w:r w:rsidR="001D179F">
        <w:t xml:space="preserve">the findings were </w:t>
      </w:r>
      <w:r w:rsidR="00ED1301">
        <w:t xml:space="preserve">generally </w:t>
      </w:r>
      <w:r w:rsidR="001D179F">
        <w:t xml:space="preserve">consistent </w:t>
      </w:r>
      <w:r w:rsidR="00ED1301">
        <w:t>across the three methods used.</w:t>
      </w:r>
    </w:p>
    <w:p w14:paraId="76020291" w14:textId="77777777" w:rsidR="00ED1301" w:rsidRDefault="00ED1301">
      <w:r>
        <w:br w:type="page"/>
      </w:r>
    </w:p>
    <w:p w14:paraId="227412E0" w14:textId="5EAEE131" w:rsidR="00A30676" w:rsidRDefault="00A30676" w:rsidP="00A30676">
      <w:r>
        <w:t xml:space="preserve">Table </w:t>
      </w:r>
      <w:r w:rsidR="003D0E85">
        <w:t>5</w:t>
      </w:r>
      <w:r>
        <w:t>: COLS Production Frontier TFP results by sector, British Passenger Rail 1998 to 2015</w:t>
      </w:r>
    </w:p>
    <w:tbl>
      <w:tblPr>
        <w:tblW w:w="9604" w:type="dxa"/>
        <w:tblLook w:val="04A0" w:firstRow="1" w:lastRow="0" w:firstColumn="1" w:lastColumn="0" w:noHBand="0" w:noVBand="1"/>
      </w:tblPr>
      <w:tblGrid>
        <w:gridCol w:w="960"/>
        <w:gridCol w:w="1020"/>
        <w:gridCol w:w="900"/>
        <w:gridCol w:w="960"/>
        <w:gridCol w:w="960"/>
        <w:gridCol w:w="960"/>
        <w:gridCol w:w="960"/>
        <w:gridCol w:w="964"/>
        <w:gridCol w:w="960"/>
        <w:gridCol w:w="960"/>
      </w:tblGrid>
      <w:tr w:rsidR="00A30676" w:rsidRPr="00430BCF" w14:paraId="19164378" w14:textId="77777777" w:rsidTr="003D0E85">
        <w:trPr>
          <w:trHeight w:val="288"/>
        </w:trPr>
        <w:tc>
          <w:tcPr>
            <w:tcW w:w="960" w:type="dxa"/>
            <w:tcBorders>
              <w:top w:val="single" w:sz="4" w:space="0" w:color="auto"/>
              <w:left w:val="single" w:sz="4" w:space="0" w:color="auto"/>
              <w:bottom w:val="nil"/>
              <w:right w:val="nil"/>
            </w:tcBorders>
            <w:shd w:val="clear" w:color="auto" w:fill="auto"/>
            <w:noWrap/>
            <w:vAlign w:val="bottom"/>
            <w:hideMark/>
          </w:tcPr>
          <w:p w14:paraId="5A04EC85"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Year</w:t>
            </w:r>
          </w:p>
        </w:tc>
        <w:tc>
          <w:tcPr>
            <w:tcW w:w="1920" w:type="dxa"/>
            <w:gridSpan w:val="2"/>
            <w:tcBorders>
              <w:top w:val="single" w:sz="4" w:space="0" w:color="auto"/>
              <w:left w:val="single" w:sz="4" w:space="0" w:color="auto"/>
              <w:bottom w:val="nil"/>
              <w:right w:val="nil"/>
            </w:tcBorders>
            <w:shd w:val="clear" w:color="auto" w:fill="auto"/>
            <w:noWrap/>
            <w:vAlign w:val="bottom"/>
            <w:hideMark/>
          </w:tcPr>
          <w:p w14:paraId="09F29FA8"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Regional Railways</w:t>
            </w:r>
          </w:p>
        </w:tc>
        <w:tc>
          <w:tcPr>
            <w:tcW w:w="960" w:type="dxa"/>
            <w:tcBorders>
              <w:top w:val="single" w:sz="4" w:space="0" w:color="auto"/>
              <w:left w:val="nil"/>
              <w:bottom w:val="nil"/>
              <w:right w:val="single" w:sz="4" w:space="0" w:color="auto"/>
            </w:tcBorders>
            <w:shd w:val="clear" w:color="auto" w:fill="auto"/>
            <w:noWrap/>
            <w:vAlign w:val="bottom"/>
            <w:hideMark/>
          </w:tcPr>
          <w:p w14:paraId="3BE3B4BE"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 </w:t>
            </w:r>
          </w:p>
        </w:tc>
        <w:tc>
          <w:tcPr>
            <w:tcW w:w="1920" w:type="dxa"/>
            <w:gridSpan w:val="2"/>
            <w:tcBorders>
              <w:top w:val="single" w:sz="4" w:space="0" w:color="auto"/>
              <w:left w:val="single" w:sz="4" w:space="0" w:color="auto"/>
              <w:bottom w:val="nil"/>
              <w:right w:val="nil"/>
            </w:tcBorders>
            <w:shd w:val="clear" w:color="auto" w:fill="auto"/>
            <w:noWrap/>
            <w:vAlign w:val="bottom"/>
            <w:hideMark/>
          </w:tcPr>
          <w:p w14:paraId="2999A628"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London</w:t>
            </w:r>
            <w:r>
              <w:rPr>
                <w:rFonts w:ascii="Calibri" w:eastAsia="Times New Roman" w:hAnsi="Calibri" w:cs="Calibri"/>
                <w:color w:val="000000"/>
                <w:lang w:eastAsia="en-GB"/>
              </w:rPr>
              <w:t>/</w:t>
            </w:r>
            <w:r w:rsidRPr="00430BCF">
              <w:rPr>
                <w:rFonts w:ascii="Calibri" w:eastAsia="Times New Roman" w:hAnsi="Calibri" w:cs="Calibri"/>
                <w:color w:val="000000"/>
                <w:lang w:eastAsia="en-GB"/>
              </w:rPr>
              <w:t>South East</w:t>
            </w:r>
          </w:p>
        </w:tc>
        <w:tc>
          <w:tcPr>
            <w:tcW w:w="960" w:type="dxa"/>
            <w:tcBorders>
              <w:top w:val="single" w:sz="4" w:space="0" w:color="auto"/>
              <w:left w:val="nil"/>
              <w:bottom w:val="nil"/>
              <w:right w:val="single" w:sz="4" w:space="0" w:color="auto"/>
            </w:tcBorders>
            <w:shd w:val="clear" w:color="auto" w:fill="auto"/>
            <w:noWrap/>
            <w:vAlign w:val="bottom"/>
            <w:hideMark/>
          </w:tcPr>
          <w:p w14:paraId="06880ACD"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 </w:t>
            </w:r>
          </w:p>
        </w:tc>
        <w:tc>
          <w:tcPr>
            <w:tcW w:w="964" w:type="dxa"/>
            <w:tcBorders>
              <w:top w:val="single" w:sz="4" w:space="0" w:color="auto"/>
              <w:left w:val="nil"/>
              <w:bottom w:val="nil"/>
              <w:right w:val="nil"/>
            </w:tcBorders>
            <w:shd w:val="clear" w:color="auto" w:fill="auto"/>
            <w:noWrap/>
            <w:vAlign w:val="bottom"/>
            <w:hideMark/>
          </w:tcPr>
          <w:p w14:paraId="2C130BC7"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Intercity</w:t>
            </w:r>
          </w:p>
        </w:tc>
        <w:tc>
          <w:tcPr>
            <w:tcW w:w="960" w:type="dxa"/>
            <w:tcBorders>
              <w:top w:val="single" w:sz="4" w:space="0" w:color="auto"/>
              <w:left w:val="nil"/>
              <w:bottom w:val="nil"/>
              <w:right w:val="nil"/>
            </w:tcBorders>
            <w:shd w:val="clear" w:color="auto" w:fill="auto"/>
            <w:noWrap/>
            <w:vAlign w:val="bottom"/>
            <w:hideMark/>
          </w:tcPr>
          <w:p w14:paraId="71B798B2"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14:paraId="2B69E8D7"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 </w:t>
            </w:r>
          </w:p>
        </w:tc>
      </w:tr>
      <w:tr w:rsidR="00A30676" w:rsidRPr="00430BCF" w14:paraId="05615E27" w14:textId="77777777" w:rsidTr="003D0E85">
        <w:trPr>
          <w:trHeight w:val="288"/>
        </w:trPr>
        <w:tc>
          <w:tcPr>
            <w:tcW w:w="960" w:type="dxa"/>
            <w:tcBorders>
              <w:top w:val="nil"/>
              <w:left w:val="single" w:sz="4" w:space="0" w:color="auto"/>
              <w:bottom w:val="single" w:sz="4" w:space="0" w:color="auto"/>
              <w:right w:val="nil"/>
            </w:tcBorders>
            <w:shd w:val="clear" w:color="auto" w:fill="auto"/>
            <w:noWrap/>
            <w:vAlign w:val="bottom"/>
            <w:hideMark/>
          </w:tcPr>
          <w:p w14:paraId="06271163"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 </w:t>
            </w:r>
          </w:p>
        </w:tc>
        <w:tc>
          <w:tcPr>
            <w:tcW w:w="1020" w:type="dxa"/>
            <w:tcBorders>
              <w:top w:val="single" w:sz="4" w:space="0" w:color="auto"/>
              <w:left w:val="single" w:sz="4" w:space="0" w:color="auto"/>
              <w:bottom w:val="single" w:sz="4" w:space="0" w:color="auto"/>
              <w:right w:val="nil"/>
            </w:tcBorders>
            <w:shd w:val="clear" w:color="auto" w:fill="auto"/>
            <w:noWrap/>
            <w:vAlign w:val="bottom"/>
            <w:hideMark/>
          </w:tcPr>
          <w:p w14:paraId="23D2BEAF"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EC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A107F"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87B892"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TFP</w:t>
            </w:r>
          </w:p>
        </w:tc>
        <w:tc>
          <w:tcPr>
            <w:tcW w:w="960" w:type="dxa"/>
            <w:tcBorders>
              <w:top w:val="single" w:sz="4" w:space="0" w:color="auto"/>
              <w:left w:val="nil"/>
              <w:bottom w:val="single" w:sz="4" w:space="0" w:color="auto"/>
              <w:right w:val="nil"/>
            </w:tcBorders>
            <w:shd w:val="clear" w:color="auto" w:fill="auto"/>
            <w:noWrap/>
            <w:vAlign w:val="bottom"/>
            <w:hideMark/>
          </w:tcPr>
          <w:p w14:paraId="3DC08A1D"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EC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F428B"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289754"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TFP</w:t>
            </w:r>
          </w:p>
        </w:tc>
        <w:tc>
          <w:tcPr>
            <w:tcW w:w="964" w:type="dxa"/>
            <w:tcBorders>
              <w:top w:val="single" w:sz="4" w:space="0" w:color="auto"/>
              <w:left w:val="nil"/>
              <w:bottom w:val="single" w:sz="4" w:space="0" w:color="auto"/>
              <w:right w:val="nil"/>
            </w:tcBorders>
            <w:shd w:val="clear" w:color="auto" w:fill="auto"/>
            <w:noWrap/>
            <w:vAlign w:val="bottom"/>
            <w:hideMark/>
          </w:tcPr>
          <w:p w14:paraId="17423A46"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EC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25137"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B29740"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TFP</w:t>
            </w:r>
          </w:p>
        </w:tc>
      </w:tr>
      <w:tr w:rsidR="00A30676" w:rsidRPr="00430BCF" w14:paraId="2896C050"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0365A0DD"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1998</w:t>
            </w:r>
          </w:p>
        </w:tc>
        <w:tc>
          <w:tcPr>
            <w:tcW w:w="1020" w:type="dxa"/>
            <w:tcBorders>
              <w:top w:val="nil"/>
              <w:left w:val="nil"/>
              <w:bottom w:val="nil"/>
              <w:right w:val="nil"/>
            </w:tcBorders>
            <w:shd w:val="clear" w:color="auto" w:fill="auto"/>
            <w:noWrap/>
            <w:vAlign w:val="bottom"/>
            <w:hideMark/>
          </w:tcPr>
          <w:p w14:paraId="6CD8F594"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1.0280</w:t>
            </w:r>
          </w:p>
        </w:tc>
        <w:tc>
          <w:tcPr>
            <w:tcW w:w="900" w:type="dxa"/>
            <w:tcBorders>
              <w:top w:val="nil"/>
              <w:left w:val="single" w:sz="4" w:space="0" w:color="auto"/>
              <w:bottom w:val="nil"/>
              <w:right w:val="single" w:sz="4" w:space="0" w:color="auto"/>
            </w:tcBorders>
            <w:shd w:val="clear" w:color="auto" w:fill="auto"/>
            <w:noWrap/>
            <w:vAlign w:val="bottom"/>
            <w:hideMark/>
          </w:tcPr>
          <w:p w14:paraId="5A5230EA"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1.0142</w:t>
            </w:r>
          </w:p>
        </w:tc>
        <w:tc>
          <w:tcPr>
            <w:tcW w:w="960" w:type="dxa"/>
            <w:tcBorders>
              <w:top w:val="nil"/>
              <w:left w:val="nil"/>
              <w:bottom w:val="nil"/>
              <w:right w:val="single" w:sz="4" w:space="0" w:color="auto"/>
            </w:tcBorders>
            <w:shd w:val="clear" w:color="auto" w:fill="auto"/>
            <w:noWrap/>
            <w:vAlign w:val="bottom"/>
            <w:hideMark/>
          </w:tcPr>
          <w:p w14:paraId="1E2B6E7B"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1.0427</w:t>
            </w:r>
          </w:p>
        </w:tc>
        <w:tc>
          <w:tcPr>
            <w:tcW w:w="960" w:type="dxa"/>
            <w:tcBorders>
              <w:top w:val="nil"/>
              <w:left w:val="nil"/>
              <w:bottom w:val="nil"/>
              <w:right w:val="nil"/>
            </w:tcBorders>
            <w:shd w:val="clear" w:color="auto" w:fill="auto"/>
            <w:noWrap/>
            <w:vAlign w:val="bottom"/>
            <w:hideMark/>
          </w:tcPr>
          <w:p w14:paraId="033A26A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0.9944</w:t>
            </w:r>
          </w:p>
        </w:tc>
        <w:tc>
          <w:tcPr>
            <w:tcW w:w="960" w:type="dxa"/>
            <w:tcBorders>
              <w:top w:val="nil"/>
              <w:left w:val="single" w:sz="4" w:space="0" w:color="auto"/>
              <w:bottom w:val="nil"/>
              <w:right w:val="single" w:sz="4" w:space="0" w:color="auto"/>
            </w:tcBorders>
            <w:shd w:val="clear" w:color="auto" w:fill="auto"/>
            <w:noWrap/>
            <w:vAlign w:val="bottom"/>
            <w:hideMark/>
          </w:tcPr>
          <w:p w14:paraId="68E8759B"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1.0067</w:t>
            </w:r>
          </w:p>
        </w:tc>
        <w:tc>
          <w:tcPr>
            <w:tcW w:w="960" w:type="dxa"/>
            <w:tcBorders>
              <w:top w:val="nil"/>
              <w:left w:val="nil"/>
              <w:bottom w:val="nil"/>
              <w:right w:val="single" w:sz="4" w:space="0" w:color="auto"/>
            </w:tcBorders>
            <w:shd w:val="clear" w:color="auto" w:fill="auto"/>
            <w:noWrap/>
            <w:vAlign w:val="bottom"/>
            <w:hideMark/>
          </w:tcPr>
          <w:p w14:paraId="38F49EF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1.0010</w:t>
            </w:r>
          </w:p>
        </w:tc>
        <w:tc>
          <w:tcPr>
            <w:tcW w:w="964" w:type="dxa"/>
            <w:tcBorders>
              <w:top w:val="nil"/>
              <w:left w:val="nil"/>
              <w:bottom w:val="nil"/>
              <w:right w:val="nil"/>
            </w:tcBorders>
            <w:shd w:val="clear" w:color="auto" w:fill="auto"/>
            <w:noWrap/>
            <w:vAlign w:val="bottom"/>
            <w:hideMark/>
          </w:tcPr>
          <w:p w14:paraId="1B834A8A"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0.9998</w:t>
            </w:r>
          </w:p>
        </w:tc>
        <w:tc>
          <w:tcPr>
            <w:tcW w:w="960" w:type="dxa"/>
            <w:tcBorders>
              <w:top w:val="nil"/>
              <w:left w:val="single" w:sz="4" w:space="0" w:color="auto"/>
              <w:bottom w:val="nil"/>
              <w:right w:val="single" w:sz="4" w:space="0" w:color="auto"/>
            </w:tcBorders>
            <w:shd w:val="clear" w:color="auto" w:fill="auto"/>
            <w:noWrap/>
            <w:vAlign w:val="bottom"/>
            <w:hideMark/>
          </w:tcPr>
          <w:p w14:paraId="16CF5DB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1.0176</w:t>
            </w:r>
          </w:p>
        </w:tc>
        <w:tc>
          <w:tcPr>
            <w:tcW w:w="960" w:type="dxa"/>
            <w:tcBorders>
              <w:top w:val="nil"/>
              <w:left w:val="nil"/>
              <w:bottom w:val="nil"/>
              <w:right w:val="single" w:sz="4" w:space="0" w:color="auto"/>
            </w:tcBorders>
            <w:shd w:val="clear" w:color="auto" w:fill="auto"/>
            <w:noWrap/>
            <w:vAlign w:val="bottom"/>
            <w:hideMark/>
          </w:tcPr>
          <w:p w14:paraId="2C49DC5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1.0173</w:t>
            </w:r>
          </w:p>
        </w:tc>
      </w:tr>
      <w:tr w:rsidR="00A30676" w:rsidRPr="00430BCF" w14:paraId="78A8A8FC"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3A5C7436"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1999</w:t>
            </w:r>
          </w:p>
        </w:tc>
        <w:tc>
          <w:tcPr>
            <w:tcW w:w="1020" w:type="dxa"/>
            <w:tcBorders>
              <w:top w:val="nil"/>
              <w:left w:val="nil"/>
              <w:bottom w:val="nil"/>
              <w:right w:val="nil"/>
            </w:tcBorders>
            <w:shd w:val="clear" w:color="auto" w:fill="auto"/>
            <w:noWrap/>
            <w:vAlign w:val="bottom"/>
            <w:hideMark/>
          </w:tcPr>
          <w:p w14:paraId="07E30979"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1.0257</w:t>
            </w:r>
          </w:p>
        </w:tc>
        <w:tc>
          <w:tcPr>
            <w:tcW w:w="900" w:type="dxa"/>
            <w:tcBorders>
              <w:top w:val="nil"/>
              <w:left w:val="single" w:sz="4" w:space="0" w:color="auto"/>
              <w:bottom w:val="nil"/>
              <w:right w:val="single" w:sz="4" w:space="0" w:color="auto"/>
            </w:tcBorders>
            <w:shd w:val="clear" w:color="auto" w:fill="auto"/>
            <w:noWrap/>
            <w:vAlign w:val="bottom"/>
            <w:hideMark/>
          </w:tcPr>
          <w:p w14:paraId="2BEF0FDF"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1.0134</w:t>
            </w:r>
          </w:p>
        </w:tc>
        <w:tc>
          <w:tcPr>
            <w:tcW w:w="960" w:type="dxa"/>
            <w:tcBorders>
              <w:top w:val="nil"/>
              <w:left w:val="nil"/>
              <w:bottom w:val="nil"/>
              <w:right w:val="single" w:sz="4" w:space="0" w:color="auto"/>
            </w:tcBorders>
            <w:shd w:val="clear" w:color="auto" w:fill="auto"/>
            <w:noWrap/>
            <w:vAlign w:val="bottom"/>
            <w:hideMark/>
          </w:tcPr>
          <w:p w14:paraId="0D40983C"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1.0394</w:t>
            </w:r>
          </w:p>
        </w:tc>
        <w:tc>
          <w:tcPr>
            <w:tcW w:w="960" w:type="dxa"/>
            <w:tcBorders>
              <w:top w:val="nil"/>
              <w:left w:val="nil"/>
              <w:bottom w:val="nil"/>
              <w:right w:val="nil"/>
            </w:tcBorders>
            <w:shd w:val="clear" w:color="auto" w:fill="auto"/>
            <w:noWrap/>
            <w:vAlign w:val="bottom"/>
            <w:hideMark/>
          </w:tcPr>
          <w:p w14:paraId="021CEE72"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1.0280</w:t>
            </w:r>
          </w:p>
        </w:tc>
        <w:tc>
          <w:tcPr>
            <w:tcW w:w="960" w:type="dxa"/>
            <w:tcBorders>
              <w:top w:val="nil"/>
              <w:left w:val="single" w:sz="4" w:space="0" w:color="auto"/>
              <w:bottom w:val="nil"/>
              <w:right w:val="single" w:sz="4" w:space="0" w:color="auto"/>
            </w:tcBorders>
            <w:shd w:val="clear" w:color="auto" w:fill="auto"/>
            <w:noWrap/>
            <w:vAlign w:val="bottom"/>
            <w:hideMark/>
          </w:tcPr>
          <w:p w14:paraId="2AF44B2E"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1.0063</w:t>
            </w:r>
          </w:p>
        </w:tc>
        <w:tc>
          <w:tcPr>
            <w:tcW w:w="960" w:type="dxa"/>
            <w:tcBorders>
              <w:top w:val="nil"/>
              <w:left w:val="nil"/>
              <w:bottom w:val="nil"/>
              <w:right w:val="single" w:sz="4" w:space="0" w:color="auto"/>
            </w:tcBorders>
            <w:shd w:val="clear" w:color="auto" w:fill="auto"/>
            <w:noWrap/>
            <w:vAlign w:val="bottom"/>
            <w:hideMark/>
          </w:tcPr>
          <w:p w14:paraId="78F4ED4A"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1.0345</w:t>
            </w:r>
          </w:p>
        </w:tc>
        <w:tc>
          <w:tcPr>
            <w:tcW w:w="964" w:type="dxa"/>
            <w:tcBorders>
              <w:top w:val="nil"/>
              <w:left w:val="nil"/>
              <w:bottom w:val="nil"/>
              <w:right w:val="nil"/>
            </w:tcBorders>
            <w:shd w:val="clear" w:color="auto" w:fill="auto"/>
            <w:noWrap/>
            <w:vAlign w:val="bottom"/>
            <w:hideMark/>
          </w:tcPr>
          <w:p w14:paraId="67402EF6"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1.0439</w:t>
            </w:r>
          </w:p>
        </w:tc>
        <w:tc>
          <w:tcPr>
            <w:tcW w:w="960" w:type="dxa"/>
            <w:tcBorders>
              <w:top w:val="nil"/>
              <w:left w:val="single" w:sz="4" w:space="0" w:color="auto"/>
              <w:bottom w:val="nil"/>
              <w:right w:val="single" w:sz="4" w:space="0" w:color="auto"/>
            </w:tcBorders>
            <w:shd w:val="clear" w:color="auto" w:fill="auto"/>
            <w:noWrap/>
            <w:vAlign w:val="bottom"/>
            <w:hideMark/>
          </w:tcPr>
          <w:p w14:paraId="24566F9B"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1.0167</w:t>
            </w:r>
          </w:p>
        </w:tc>
        <w:tc>
          <w:tcPr>
            <w:tcW w:w="960" w:type="dxa"/>
            <w:tcBorders>
              <w:top w:val="nil"/>
              <w:left w:val="nil"/>
              <w:bottom w:val="nil"/>
              <w:right w:val="single" w:sz="4" w:space="0" w:color="auto"/>
            </w:tcBorders>
            <w:shd w:val="clear" w:color="auto" w:fill="auto"/>
            <w:noWrap/>
            <w:vAlign w:val="bottom"/>
            <w:hideMark/>
          </w:tcPr>
          <w:p w14:paraId="230457CA"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1.0613</w:t>
            </w:r>
          </w:p>
        </w:tc>
      </w:tr>
      <w:tr w:rsidR="00A30676" w:rsidRPr="00430BCF" w14:paraId="44FABF6A"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7967CC1F"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2000</w:t>
            </w:r>
          </w:p>
        </w:tc>
        <w:tc>
          <w:tcPr>
            <w:tcW w:w="1020" w:type="dxa"/>
            <w:tcBorders>
              <w:top w:val="nil"/>
              <w:left w:val="nil"/>
              <w:bottom w:val="nil"/>
              <w:right w:val="nil"/>
            </w:tcBorders>
            <w:shd w:val="clear" w:color="auto" w:fill="auto"/>
            <w:noWrap/>
            <w:vAlign w:val="bottom"/>
            <w:hideMark/>
          </w:tcPr>
          <w:p w14:paraId="1E0EB5C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1.0467</w:t>
            </w:r>
          </w:p>
        </w:tc>
        <w:tc>
          <w:tcPr>
            <w:tcW w:w="900" w:type="dxa"/>
            <w:tcBorders>
              <w:top w:val="nil"/>
              <w:left w:val="single" w:sz="4" w:space="0" w:color="auto"/>
              <w:bottom w:val="nil"/>
              <w:right w:val="single" w:sz="4" w:space="0" w:color="auto"/>
            </w:tcBorders>
            <w:shd w:val="clear" w:color="auto" w:fill="auto"/>
            <w:noWrap/>
            <w:vAlign w:val="bottom"/>
            <w:hideMark/>
          </w:tcPr>
          <w:p w14:paraId="3560582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1.0126</w:t>
            </w:r>
          </w:p>
        </w:tc>
        <w:tc>
          <w:tcPr>
            <w:tcW w:w="960" w:type="dxa"/>
            <w:tcBorders>
              <w:top w:val="nil"/>
              <w:left w:val="nil"/>
              <w:bottom w:val="nil"/>
              <w:right w:val="single" w:sz="4" w:space="0" w:color="auto"/>
            </w:tcBorders>
            <w:shd w:val="clear" w:color="auto" w:fill="auto"/>
            <w:noWrap/>
            <w:vAlign w:val="bottom"/>
            <w:hideMark/>
          </w:tcPr>
          <w:p w14:paraId="4C22A73C"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1.0599</w:t>
            </w:r>
          </w:p>
        </w:tc>
        <w:tc>
          <w:tcPr>
            <w:tcW w:w="960" w:type="dxa"/>
            <w:tcBorders>
              <w:top w:val="nil"/>
              <w:left w:val="nil"/>
              <w:bottom w:val="nil"/>
              <w:right w:val="nil"/>
            </w:tcBorders>
            <w:shd w:val="clear" w:color="auto" w:fill="auto"/>
            <w:noWrap/>
            <w:vAlign w:val="bottom"/>
            <w:hideMark/>
          </w:tcPr>
          <w:p w14:paraId="6876852E"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0.9960</w:t>
            </w:r>
          </w:p>
        </w:tc>
        <w:tc>
          <w:tcPr>
            <w:tcW w:w="960" w:type="dxa"/>
            <w:tcBorders>
              <w:top w:val="nil"/>
              <w:left w:val="single" w:sz="4" w:space="0" w:color="auto"/>
              <w:bottom w:val="nil"/>
              <w:right w:val="single" w:sz="4" w:space="0" w:color="auto"/>
            </w:tcBorders>
            <w:shd w:val="clear" w:color="auto" w:fill="auto"/>
            <w:noWrap/>
            <w:vAlign w:val="bottom"/>
            <w:hideMark/>
          </w:tcPr>
          <w:p w14:paraId="25E0347E"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1.0057</w:t>
            </w:r>
          </w:p>
        </w:tc>
        <w:tc>
          <w:tcPr>
            <w:tcW w:w="960" w:type="dxa"/>
            <w:tcBorders>
              <w:top w:val="nil"/>
              <w:left w:val="nil"/>
              <w:bottom w:val="nil"/>
              <w:right w:val="single" w:sz="4" w:space="0" w:color="auto"/>
            </w:tcBorders>
            <w:shd w:val="clear" w:color="auto" w:fill="auto"/>
            <w:noWrap/>
            <w:vAlign w:val="bottom"/>
            <w:hideMark/>
          </w:tcPr>
          <w:p w14:paraId="254A8624"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1.0016</w:t>
            </w:r>
          </w:p>
        </w:tc>
        <w:tc>
          <w:tcPr>
            <w:tcW w:w="964" w:type="dxa"/>
            <w:tcBorders>
              <w:top w:val="nil"/>
              <w:left w:val="nil"/>
              <w:bottom w:val="nil"/>
              <w:right w:val="nil"/>
            </w:tcBorders>
            <w:shd w:val="clear" w:color="auto" w:fill="auto"/>
            <w:noWrap/>
            <w:vAlign w:val="bottom"/>
            <w:hideMark/>
          </w:tcPr>
          <w:p w14:paraId="3708C7AE"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1.0652</w:t>
            </w:r>
          </w:p>
        </w:tc>
        <w:tc>
          <w:tcPr>
            <w:tcW w:w="960" w:type="dxa"/>
            <w:tcBorders>
              <w:top w:val="nil"/>
              <w:left w:val="single" w:sz="4" w:space="0" w:color="auto"/>
              <w:bottom w:val="nil"/>
              <w:right w:val="single" w:sz="4" w:space="0" w:color="auto"/>
            </w:tcBorders>
            <w:shd w:val="clear" w:color="auto" w:fill="auto"/>
            <w:noWrap/>
            <w:vAlign w:val="bottom"/>
            <w:hideMark/>
          </w:tcPr>
          <w:p w14:paraId="66E12551"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1.0160</w:t>
            </w:r>
          </w:p>
        </w:tc>
        <w:tc>
          <w:tcPr>
            <w:tcW w:w="960" w:type="dxa"/>
            <w:tcBorders>
              <w:top w:val="nil"/>
              <w:left w:val="nil"/>
              <w:bottom w:val="nil"/>
              <w:right w:val="single" w:sz="4" w:space="0" w:color="auto"/>
            </w:tcBorders>
            <w:shd w:val="clear" w:color="auto" w:fill="auto"/>
            <w:noWrap/>
            <w:vAlign w:val="bottom"/>
            <w:hideMark/>
          </w:tcPr>
          <w:p w14:paraId="66617CB9"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1.0822</w:t>
            </w:r>
          </w:p>
        </w:tc>
      </w:tr>
      <w:tr w:rsidR="00A30676" w:rsidRPr="00430BCF" w14:paraId="5E16DF8B"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628E2929"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2001</w:t>
            </w:r>
          </w:p>
        </w:tc>
        <w:tc>
          <w:tcPr>
            <w:tcW w:w="1020" w:type="dxa"/>
            <w:tcBorders>
              <w:top w:val="nil"/>
              <w:left w:val="nil"/>
              <w:bottom w:val="nil"/>
              <w:right w:val="nil"/>
            </w:tcBorders>
            <w:shd w:val="clear" w:color="auto" w:fill="auto"/>
            <w:noWrap/>
            <w:vAlign w:val="bottom"/>
            <w:hideMark/>
          </w:tcPr>
          <w:p w14:paraId="02CDFA11"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0.9367</w:t>
            </w:r>
          </w:p>
        </w:tc>
        <w:tc>
          <w:tcPr>
            <w:tcW w:w="900" w:type="dxa"/>
            <w:tcBorders>
              <w:top w:val="nil"/>
              <w:left w:val="single" w:sz="4" w:space="0" w:color="auto"/>
              <w:bottom w:val="nil"/>
              <w:right w:val="single" w:sz="4" w:space="0" w:color="auto"/>
            </w:tcBorders>
            <w:shd w:val="clear" w:color="auto" w:fill="auto"/>
            <w:noWrap/>
            <w:vAlign w:val="bottom"/>
            <w:hideMark/>
          </w:tcPr>
          <w:p w14:paraId="32FF0E6E"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1.0131</w:t>
            </w:r>
          </w:p>
        </w:tc>
        <w:tc>
          <w:tcPr>
            <w:tcW w:w="960" w:type="dxa"/>
            <w:tcBorders>
              <w:top w:val="nil"/>
              <w:left w:val="nil"/>
              <w:bottom w:val="nil"/>
              <w:right w:val="single" w:sz="4" w:space="0" w:color="auto"/>
            </w:tcBorders>
            <w:shd w:val="clear" w:color="auto" w:fill="auto"/>
            <w:noWrap/>
            <w:vAlign w:val="bottom"/>
            <w:hideMark/>
          </w:tcPr>
          <w:p w14:paraId="7DD96AE6"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0.9490</w:t>
            </w:r>
          </w:p>
        </w:tc>
        <w:tc>
          <w:tcPr>
            <w:tcW w:w="960" w:type="dxa"/>
            <w:tcBorders>
              <w:top w:val="nil"/>
              <w:left w:val="nil"/>
              <w:bottom w:val="nil"/>
              <w:right w:val="nil"/>
            </w:tcBorders>
            <w:shd w:val="clear" w:color="auto" w:fill="auto"/>
            <w:noWrap/>
            <w:vAlign w:val="bottom"/>
            <w:hideMark/>
          </w:tcPr>
          <w:p w14:paraId="18E701B4"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0.9669</w:t>
            </w:r>
          </w:p>
        </w:tc>
        <w:tc>
          <w:tcPr>
            <w:tcW w:w="960" w:type="dxa"/>
            <w:tcBorders>
              <w:top w:val="nil"/>
              <w:left w:val="single" w:sz="4" w:space="0" w:color="auto"/>
              <w:bottom w:val="nil"/>
              <w:right w:val="single" w:sz="4" w:space="0" w:color="auto"/>
            </w:tcBorders>
            <w:shd w:val="clear" w:color="auto" w:fill="auto"/>
            <w:noWrap/>
            <w:vAlign w:val="bottom"/>
            <w:hideMark/>
          </w:tcPr>
          <w:p w14:paraId="71390B83"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1.0051</w:t>
            </w:r>
          </w:p>
        </w:tc>
        <w:tc>
          <w:tcPr>
            <w:tcW w:w="960" w:type="dxa"/>
            <w:tcBorders>
              <w:top w:val="nil"/>
              <w:left w:val="nil"/>
              <w:bottom w:val="nil"/>
              <w:right w:val="single" w:sz="4" w:space="0" w:color="auto"/>
            </w:tcBorders>
            <w:shd w:val="clear" w:color="auto" w:fill="auto"/>
            <w:noWrap/>
            <w:vAlign w:val="bottom"/>
            <w:hideMark/>
          </w:tcPr>
          <w:p w14:paraId="347B987A"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0.9718</w:t>
            </w:r>
          </w:p>
        </w:tc>
        <w:tc>
          <w:tcPr>
            <w:tcW w:w="964" w:type="dxa"/>
            <w:tcBorders>
              <w:top w:val="nil"/>
              <w:left w:val="nil"/>
              <w:bottom w:val="nil"/>
              <w:right w:val="nil"/>
            </w:tcBorders>
            <w:shd w:val="clear" w:color="auto" w:fill="auto"/>
            <w:noWrap/>
            <w:vAlign w:val="bottom"/>
            <w:hideMark/>
          </w:tcPr>
          <w:p w14:paraId="04954BC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1.0522</w:t>
            </w:r>
          </w:p>
        </w:tc>
        <w:tc>
          <w:tcPr>
            <w:tcW w:w="960" w:type="dxa"/>
            <w:tcBorders>
              <w:top w:val="nil"/>
              <w:left w:val="single" w:sz="4" w:space="0" w:color="auto"/>
              <w:bottom w:val="nil"/>
              <w:right w:val="single" w:sz="4" w:space="0" w:color="auto"/>
            </w:tcBorders>
            <w:shd w:val="clear" w:color="auto" w:fill="auto"/>
            <w:noWrap/>
            <w:vAlign w:val="bottom"/>
            <w:hideMark/>
          </w:tcPr>
          <w:p w14:paraId="6E88C165"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1.0157</w:t>
            </w:r>
          </w:p>
        </w:tc>
        <w:tc>
          <w:tcPr>
            <w:tcW w:w="960" w:type="dxa"/>
            <w:tcBorders>
              <w:top w:val="nil"/>
              <w:left w:val="nil"/>
              <w:bottom w:val="nil"/>
              <w:right w:val="single" w:sz="4" w:space="0" w:color="auto"/>
            </w:tcBorders>
            <w:shd w:val="clear" w:color="auto" w:fill="auto"/>
            <w:noWrap/>
            <w:vAlign w:val="bottom"/>
            <w:hideMark/>
          </w:tcPr>
          <w:p w14:paraId="0F70311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1.0687</w:t>
            </w:r>
          </w:p>
        </w:tc>
      </w:tr>
      <w:tr w:rsidR="00A30676" w:rsidRPr="00430BCF" w14:paraId="530BE37E"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2E8AC232"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2002</w:t>
            </w:r>
          </w:p>
        </w:tc>
        <w:tc>
          <w:tcPr>
            <w:tcW w:w="1020" w:type="dxa"/>
            <w:tcBorders>
              <w:top w:val="nil"/>
              <w:left w:val="nil"/>
              <w:bottom w:val="nil"/>
              <w:right w:val="nil"/>
            </w:tcBorders>
            <w:shd w:val="clear" w:color="auto" w:fill="auto"/>
            <w:noWrap/>
            <w:vAlign w:val="bottom"/>
            <w:hideMark/>
          </w:tcPr>
          <w:p w14:paraId="1C48C4D1"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0.9471</w:t>
            </w:r>
          </w:p>
        </w:tc>
        <w:tc>
          <w:tcPr>
            <w:tcW w:w="900" w:type="dxa"/>
            <w:tcBorders>
              <w:top w:val="nil"/>
              <w:left w:val="single" w:sz="4" w:space="0" w:color="auto"/>
              <w:bottom w:val="nil"/>
              <w:right w:val="single" w:sz="4" w:space="0" w:color="auto"/>
            </w:tcBorders>
            <w:shd w:val="clear" w:color="auto" w:fill="auto"/>
            <w:noWrap/>
            <w:vAlign w:val="bottom"/>
            <w:hideMark/>
          </w:tcPr>
          <w:p w14:paraId="2EB358CC"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1.0130</w:t>
            </w:r>
          </w:p>
        </w:tc>
        <w:tc>
          <w:tcPr>
            <w:tcW w:w="960" w:type="dxa"/>
            <w:tcBorders>
              <w:top w:val="nil"/>
              <w:left w:val="nil"/>
              <w:bottom w:val="nil"/>
              <w:right w:val="single" w:sz="4" w:space="0" w:color="auto"/>
            </w:tcBorders>
            <w:shd w:val="clear" w:color="auto" w:fill="auto"/>
            <w:noWrap/>
            <w:vAlign w:val="bottom"/>
            <w:hideMark/>
          </w:tcPr>
          <w:p w14:paraId="31625FE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0.9593</w:t>
            </w:r>
          </w:p>
        </w:tc>
        <w:tc>
          <w:tcPr>
            <w:tcW w:w="960" w:type="dxa"/>
            <w:tcBorders>
              <w:top w:val="nil"/>
              <w:left w:val="nil"/>
              <w:bottom w:val="nil"/>
              <w:right w:val="nil"/>
            </w:tcBorders>
            <w:shd w:val="clear" w:color="auto" w:fill="auto"/>
            <w:noWrap/>
            <w:vAlign w:val="bottom"/>
            <w:hideMark/>
          </w:tcPr>
          <w:p w14:paraId="2605F9EF"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0.9696</w:t>
            </w:r>
          </w:p>
        </w:tc>
        <w:tc>
          <w:tcPr>
            <w:tcW w:w="960" w:type="dxa"/>
            <w:tcBorders>
              <w:top w:val="nil"/>
              <w:left w:val="single" w:sz="4" w:space="0" w:color="auto"/>
              <w:bottom w:val="nil"/>
              <w:right w:val="single" w:sz="4" w:space="0" w:color="auto"/>
            </w:tcBorders>
            <w:shd w:val="clear" w:color="auto" w:fill="auto"/>
            <w:noWrap/>
            <w:vAlign w:val="bottom"/>
            <w:hideMark/>
          </w:tcPr>
          <w:p w14:paraId="4E521792"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1.0047</w:t>
            </w:r>
          </w:p>
        </w:tc>
        <w:tc>
          <w:tcPr>
            <w:tcW w:w="960" w:type="dxa"/>
            <w:tcBorders>
              <w:top w:val="nil"/>
              <w:left w:val="nil"/>
              <w:bottom w:val="nil"/>
              <w:right w:val="single" w:sz="4" w:space="0" w:color="auto"/>
            </w:tcBorders>
            <w:shd w:val="clear" w:color="auto" w:fill="auto"/>
            <w:noWrap/>
            <w:vAlign w:val="bottom"/>
            <w:hideMark/>
          </w:tcPr>
          <w:p w14:paraId="3E5F1C66"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0.9742</w:t>
            </w:r>
          </w:p>
        </w:tc>
        <w:tc>
          <w:tcPr>
            <w:tcW w:w="964" w:type="dxa"/>
            <w:tcBorders>
              <w:top w:val="nil"/>
              <w:left w:val="nil"/>
              <w:bottom w:val="nil"/>
              <w:right w:val="nil"/>
            </w:tcBorders>
            <w:shd w:val="clear" w:color="auto" w:fill="auto"/>
            <w:noWrap/>
            <w:vAlign w:val="bottom"/>
            <w:hideMark/>
          </w:tcPr>
          <w:p w14:paraId="61D13F28"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1.0353</w:t>
            </w:r>
          </w:p>
        </w:tc>
        <w:tc>
          <w:tcPr>
            <w:tcW w:w="960" w:type="dxa"/>
            <w:tcBorders>
              <w:top w:val="nil"/>
              <w:left w:val="single" w:sz="4" w:space="0" w:color="auto"/>
              <w:bottom w:val="nil"/>
              <w:right w:val="single" w:sz="4" w:space="0" w:color="auto"/>
            </w:tcBorders>
            <w:shd w:val="clear" w:color="auto" w:fill="auto"/>
            <w:noWrap/>
            <w:vAlign w:val="bottom"/>
            <w:hideMark/>
          </w:tcPr>
          <w:p w14:paraId="3370D406"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1.0154</w:t>
            </w:r>
          </w:p>
        </w:tc>
        <w:tc>
          <w:tcPr>
            <w:tcW w:w="960" w:type="dxa"/>
            <w:tcBorders>
              <w:top w:val="nil"/>
              <w:left w:val="nil"/>
              <w:bottom w:val="nil"/>
              <w:right w:val="single" w:sz="4" w:space="0" w:color="auto"/>
            </w:tcBorders>
            <w:shd w:val="clear" w:color="auto" w:fill="auto"/>
            <w:noWrap/>
            <w:vAlign w:val="bottom"/>
            <w:hideMark/>
          </w:tcPr>
          <w:p w14:paraId="0A82B2A4"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1.0512</w:t>
            </w:r>
          </w:p>
        </w:tc>
      </w:tr>
      <w:tr w:rsidR="00A30676" w:rsidRPr="00430BCF" w14:paraId="44FE855E"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0A232F2B"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2003</w:t>
            </w:r>
          </w:p>
        </w:tc>
        <w:tc>
          <w:tcPr>
            <w:tcW w:w="1020" w:type="dxa"/>
            <w:tcBorders>
              <w:top w:val="nil"/>
              <w:left w:val="nil"/>
              <w:bottom w:val="nil"/>
              <w:right w:val="nil"/>
            </w:tcBorders>
            <w:shd w:val="clear" w:color="auto" w:fill="auto"/>
            <w:noWrap/>
            <w:vAlign w:val="bottom"/>
            <w:hideMark/>
          </w:tcPr>
          <w:p w14:paraId="02D548A9"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1.0719</w:t>
            </w:r>
          </w:p>
        </w:tc>
        <w:tc>
          <w:tcPr>
            <w:tcW w:w="900" w:type="dxa"/>
            <w:tcBorders>
              <w:top w:val="nil"/>
              <w:left w:val="single" w:sz="4" w:space="0" w:color="auto"/>
              <w:bottom w:val="nil"/>
              <w:right w:val="single" w:sz="4" w:space="0" w:color="auto"/>
            </w:tcBorders>
            <w:shd w:val="clear" w:color="auto" w:fill="auto"/>
            <w:noWrap/>
            <w:vAlign w:val="bottom"/>
            <w:hideMark/>
          </w:tcPr>
          <w:p w14:paraId="4B512C2C"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1.0116</w:t>
            </w:r>
          </w:p>
        </w:tc>
        <w:tc>
          <w:tcPr>
            <w:tcW w:w="960" w:type="dxa"/>
            <w:tcBorders>
              <w:top w:val="nil"/>
              <w:left w:val="nil"/>
              <w:bottom w:val="nil"/>
              <w:right w:val="single" w:sz="4" w:space="0" w:color="auto"/>
            </w:tcBorders>
            <w:shd w:val="clear" w:color="auto" w:fill="auto"/>
            <w:noWrap/>
            <w:vAlign w:val="bottom"/>
            <w:hideMark/>
          </w:tcPr>
          <w:p w14:paraId="04187758"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1.0844</w:t>
            </w:r>
          </w:p>
        </w:tc>
        <w:tc>
          <w:tcPr>
            <w:tcW w:w="960" w:type="dxa"/>
            <w:tcBorders>
              <w:top w:val="nil"/>
              <w:left w:val="nil"/>
              <w:bottom w:val="nil"/>
              <w:right w:val="nil"/>
            </w:tcBorders>
            <w:shd w:val="clear" w:color="auto" w:fill="auto"/>
            <w:noWrap/>
            <w:vAlign w:val="bottom"/>
            <w:hideMark/>
          </w:tcPr>
          <w:p w14:paraId="39A72FE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1.0192</w:t>
            </w:r>
          </w:p>
        </w:tc>
        <w:tc>
          <w:tcPr>
            <w:tcW w:w="960" w:type="dxa"/>
            <w:tcBorders>
              <w:top w:val="nil"/>
              <w:left w:val="single" w:sz="4" w:space="0" w:color="auto"/>
              <w:bottom w:val="nil"/>
              <w:right w:val="single" w:sz="4" w:space="0" w:color="auto"/>
            </w:tcBorders>
            <w:shd w:val="clear" w:color="auto" w:fill="auto"/>
            <w:noWrap/>
            <w:vAlign w:val="bottom"/>
            <w:hideMark/>
          </w:tcPr>
          <w:p w14:paraId="5DE58EF4"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1.0044</w:t>
            </w:r>
          </w:p>
        </w:tc>
        <w:tc>
          <w:tcPr>
            <w:tcW w:w="960" w:type="dxa"/>
            <w:tcBorders>
              <w:top w:val="nil"/>
              <w:left w:val="nil"/>
              <w:bottom w:val="nil"/>
              <w:right w:val="single" w:sz="4" w:space="0" w:color="auto"/>
            </w:tcBorders>
            <w:shd w:val="clear" w:color="auto" w:fill="auto"/>
            <w:noWrap/>
            <w:vAlign w:val="bottom"/>
            <w:hideMark/>
          </w:tcPr>
          <w:p w14:paraId="4AA9FEE8"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1.0237</w:t>
            </w:r>
          </w:p>
        </w:tc>
        <w:tc>
          <w:tcPr>
            <w:tcW w:w="964" w:type="dxa"/>
            <w:tcBorders>
              <w:top w:val="nil"/>
              <w:left w:val="nil"/>
              <w:bottom w:val="nil"/>
              <w:right w:val="nil"/>
            </w:tcBorders>
            <w:shd w:val="clear" w:color="auto" w:fill="auto"/>
            <w:noWrap/>
            <w:vAlign w:val="bottom"/>
            <w:hideMark/>
          </w:tcPr>
          <w:p w14:paraId="76A4E311"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0.9463</w:t>
            </w:r>
          </w:p>
        </w:tc>
        <w:tc>
          <w:tcPr>
            <w:tcW w:w="960" w:type="dxa"/>
            <w:tcBorders>
              <w:top w:val="nil"/>
              <w:left w:val="single" w:sz="4" w:space="0" w:color="auto"/>
              <w:bottom w:val="nil"/>
              <w:right w:val="single" w:sz="4" w:space="0" w:color="auto"/>
            </w:tcBorders>
            <w:shd w:val="clear" w:color="auto" w:fill="auto"/>
            <w:noWrap/>
            <w:vAlign w:val="bottom"/>
            <w:hideMark/>
          </w:tcPr>
          <w:p w14:paraId="2EA80CBF"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1.0145</w:t>
            </w:r>
          </w:p>
        </w:tc>
        <w:tc>
          <w:tcPr>
            <w:tcW w:w="960" w:type="dxa"/>
            <w:tcBorders>
              <w:top w:val="nil"/>
              <w:left w:val="nil"/>
              <w:bottom w:val="nil"/>
              <w:right w:val="single" w:sz="4" w:space="0" w:color="auto"/>
            </w:tcBorders>
            <w:shd w:val="clear" w:color="auto" w:fill="auto"/>
            <w:noWrap/>
            <w:vAlign w:val="bottom"/>
            <w:hideMark/>
          </w:tcPr>
          <w:p w14:paraId="7FFDC1BE"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0.9600</w:t>
            </w:r>
          </w:p>
        </w:tc>
      </w:tr>
      <w:tr w:rsidR="00A30676" w:rsidRPr="00430BCF" w14:paraId="680D4D28"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734F3DFD"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2004</w:t>
            </w:r>
          </w:p>
        </w:tc>
        <w:tc>
          <w:tcPr>
            <w:tcW w:w="1020" w:type="dxa"/>
            <w:tcBorders>
              <w:top w:val="nil"/>
              <w:left w:val="nil"/>
              <w:bottom w:val="nil"/>
              <w:right w:val="nil"/>
            </w:tcBorders>
            <w:shd w:val="clear" w:color="auto" w:fill="auto"/>
            <w:noWrap/>
            <w:vAlign w:val="bottom"/>
            <w:hideMark/>
          </w:tcPr>
          <w:p w14:paraId="420A00C1"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0.9320</w:t>
            </w:r>
          </w:p>
        </w:tc>
        <w:tc>
          <w:tcPr>
            <w:tcW w:w="900" w:type="dxa"/>
            <w:tcBorders>
              <w:top w:val="nil"/>
              <w:left w:val="single" w:sz="4" w:space="0" w:color="auto"/>
              <w:bottom w:val="nil"/>
              <w:right w:val="single" w:sz="4" w:space="0" w:color="auto"/>
            </w:tcBorders>
            <w:shd w:val="clear" w:color="auto" w:fill="auto"/>
            <w:noWrap/>
            <w:vAlign w:val="bottom"/>
            <w:hideMark/>
          </w:tcPr>
          <w:p w14:paraId="14CBD10B"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1.0103</w:t>
            </w:r>
          </w:p>
        </w:tc>
        <w:tc>
          <w:tcPr>
            <w:tcW w:w="960" w:type="dxa"/>
            <w:tcBorders>
              <w:top w:val="nil"/>
              <w:left w:val="nil"/>
              <w:bottom w:val="nil"/>
              <w:right w:val="single" w:sz="4" w:space="0" w:color="auto"/>
            </w:tcBorders>
            <w:shd w:val="clear" w:color="auto" w:fill="auto"/>
            <w:noWrap/>
            <w:vAlign w:val="bottom"/>
            <w:hideMark/>
          </w:tcPr>
          <w:p w14:paraId="6A1F602C"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0.9417</w:t>
            </w:r>
          </w:p>
        </w:tc>
        <w:tc>
          <w:tcPr>
            <w:tcW w:w="960" w:type="dxa"/>
            <w:tcBorders>
              <w:top w:val="nil"/>
              <w:left w:val="nil"/>
              <w:bottom w:val="nil"/>
              <w:right w:val="nil"/>
            </w:tcBorders>
            <w:shd w:val="clear" w:color="auto" w:fill="auto"/>
            <w:noWrap/>
            <w:vAlign w:val="bottom"/>
            <w:hideMark/>
          </w:tcPr>
          <w:p w14:paraId="50B95545"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1.0062</w:t>
            </w:r>
          </w:p>
        </w:tc>
        <w:tc>
          <w:tcPr>
            <w:tcW w:w="960" w:type="dxa"/>
            <w:tcBorders>
              <w:top w:val="nil"/>
              <w:left w:val="single" w:sz="4" w:space="0" w:color="auto"/>
              <w:bottom w:val="nil"/>
              <w:right w:val="single" w:sz="4" w:space="0" w:color="auto"/>
            </w:tcBorders>
            <w:shd w:val="clear" w:color="auto" w:fill="auto"/>
            <w:noWrap/>
            <w:vAlign w:val="bottom"/>
            <w:hideMark/>
          </w:tcPr>
          <w:p w14:paraId="7109175F"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1.0038</w:t>
            </w:r>
          </w:p>
        </w:tc>
        <w:tc>
          <w:tcPr>
            <w:tcW w:w="960" w:type="dxa"/>
            <w:tcBorders>
              <w:top w:val="nil"/>
              <w:left w:val="nil"/>
              <w:bottom w:val="nil"/>
              <w:right w:val="single" w:sz="4" w:space="0" w:color="auto"/>
            </w:tcBorders>
            <w:shd w:val="clear" w:color="auto" w:fill="auto"/>
            <w:noWrap/>
            <w:vAlign w:val="bottom"/>
            <w:hideMark/>
          </w:tcPr>
          <w:p w14:paraId="04D29984"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1.0100</w:t>
            </w:r>
          </w:p>
        </w:tc>
        <w:tc>
          <w:tcPr>
            <w:tcW w:w="964" w:type="dxa"/>
            <w:tcBorders>
              <w:top w:val="nil"/>
              <w:left w:val="nil"/>
              <w:bottom w:val="nil"/>
              <w:right w:val="nil"/>
            </w:tcBorders>
            <w:shd w:val="clear" w:color="auto" w:fill="auto"/>
            <w:noWrap/>
            <w:vAlign w:val="bottom"/>
            <w:hideMark/>
          </w:tcPr>
          <w:p w14:paraId="1E58162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1.0238</w:t>
            </w:r>
          </w:p>
        </w:tc>
        <w:tc>
          <w:tcPr>
            <w:tcW w:w="960" w:type="dxa"/>
            <w:tcBorders>
              <w:top w:val="nil"/>
              <w:left w:val="single" w:sz="4" w:space="0" w:color="auto"/>
              <w:bottom w:val="nil"/>
              <w:right w:val="single" w:sz="4" w:space="0" w:color="auto"/>
            </w:tcBorders>
            <w:shd w:val="clear" w:color="auto" w:fill="auto"/>
            <w:noWrap/>
            <w:vAlign w:val="bottom"/>
            <w:hideMark/>
          </w:tcPr>
          <w:p w14:paraId="345593CE"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1.0167</w:t>
            </w:r>
          </w:p>
        </w:tc>
        <w:tc>
          <w:tcPr>
            <w:tcW w:w="960" w:type="dxa"/>
            <w:tcBorders>
              <w:top w:val="nil"/>
              <w:left w:val="nil"/>
              <w:bottom w:val="nil"/>
              <w:right w:val="single" w:sz="4" w:space="0" w:color="auto"/>
            </w:tcBorders>
            <w:shd w:val="clear" w:color="auto" w:fill="auto"/>
            <w:noWrap/>
            <w:vAlign w:val="bottom"/>
            <w:hideMark/>
          </w:tcPr>
          <w:p w14:paraId="521418EE"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1.0409</w:t>
            </w:r>
          </w:p>
        </w:tc>
      </w:tr>
      <w:tr w:rsidR="00A30676" w:rsidRPr="00430BCF" w14:paraId="5CF2E3F5"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6155EA8B"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2005</w:t>
            </w:r>
          </w:p>
        </w:tc>
        <w:tc>
          <w:tcPr>
            <w:tcW w:w="1020" w:type="dxa"/>
            <w:tcBorders>
              <w:top w:val="nil"/>
              <w:left w:val="nil"/>
              <w:bottom w:val="nil"/>
              <w:right w:val="nil"/>
            </w:tcBorders>
            <w:shd w:val="clear" w:color="auto" w:fill="auto"/>
            <w:noWrap/>
            <w:vAlign w:val="bottom"/>
            <w:hideMark/>
          </w:tcPr>
          <w:p w14:paraId="3813CFBB"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1.0384</w:t>
            </w:r>
          </w:p>
        </w:tc>
        <w:tc>
          <w:tcPr>
            <w:tcW w:w="900" w:type="dxa"/>
            <w:tcBorders>
              <w:top w:val="nil"/>
              <w:left w:val="single" w:sz="4" w:space="0" w:color="auto"/>
              <w:bottom w:val="nil"/>
              <w:right w:val="single" w:sz="4" w:space="0" w:color="auto"/>
            </w:tcBorders>
            <w:shd w:val="clear" w:color="auto" w:fill="auto"/>
            <w:noWrap/>
            <w:vAlign w:val="bottom"/>
            <w:hideMark/>
          </w:tcPr>
          <w:p w14:paraId="6B150EB9"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1.0100</w:t>
            </w:r>
          </w:p>
        </w:tc>
        <w:tc>
          <w:tcPr>
            <w:tcW w:w="960" w:type="dxa"/>
            <w:tcBorders>
              <w:top w:val="nil"/>
              <w:left w:val="nil"/>
              <w:bottom w:val="nil"/>
              <w:right w:val="single" w:sz="4" w:space="0" w:color="auto"/>
            </w:tcBorders>
            <w:shd w:val="clear" w:color="auto" w:fill="auto"/>
            <w:noWrap/>
            <w:vAlign w:val="bottom"/>
            <w:hideMark/>
          </w:tcPr>
          <w:p w14:paraId="21E2CE96"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1.0488</w:t>
            </w:r>
          </w:p>
        </w:tc>
        <w:tc>
          <w:tcPr>
            <w:tcW w:w="960" w:type="dxa"/>
            <w:tcBorders>
              <w:top w:val="nil"/>
              <w:left w:val="nil"/>
              <w:bottom w:val="nil"/>
              <w:right w:val="nil"/>
            </w:tcBorders>
            <w:shd w:val="clear" w:color="auto" w:fill="auto"/>
            <w:noWrap/>
            <w:vAlign w:val="bottom"/>
            <w:hideMark/>
          </w:tcPr>
          <w:p w14:paraId="151C223E"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1.0042</w:t>
            </w:r>
          </w:p>
        </w:tc>
        <w:tc>
          <w:tcPr>
            <w:tcW w:w="960" w:type="dxa"/>
            <w:tcBorders>
              <w:top w:val="nil"/>
              <w:left w:val="single" w:sz="4" w:space="0" w:color="auto"/>
              <w:bottom w:val="nil"/>
              <w:right w:val="single" w:sz="4" w:space="0" w:color="auto"/>
            </w:tcBorders>
            <w:shd w:val="clear" w:color="auto" w:fill="auto"/>
            <w:noWrap/>
            <w:vAlign w:val="bottom"/>
            <w:hideMark/>
          </w:tcPr>
          <w:p w14:paraId="735A5E84"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1.0034</w:t>
            </w:r>
          </w:p>
        </w:tc>
        <w:tc>
          <w:tcPr>
            <w:tcW w:w="960" w:type="dxa"/>
            <w:tcBorders>
              <w:top w:val="nil"/>
              <w:left w:val="nil"/>
              <w:bottom w:val="nil"/>
              <w:right w:val="single" w:sz="4" w:space="0" w:color="auto"/>
            </w:tcBorders>
            <w:shd w:val="clear" w:color="auto" w:fill="auto"/>
            <w:noWrap/>
            <w:vAlign w:val="bottom"/>
            <w:hideMark/>
          </w:tcPr>
          <w:p w14:paraId="6CE8DE6B"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1.0076</w:t>
            </w:r>
          </w:p>
        </w:tc>
        <w:tc>
          <w:tcPr>
            <w:tcW w:w="964" w:type="dxa"/>
            <w:tcBorders>
              <w:top w:val="nil"/>
              <w:left w:val="nil"/>
              <w:bottom w:val="nil"/>
              <w:right w:val="nil"/>
            </w:tcBorders>
            <w:shd w:val="clear" w:color="auto" w:fill="auto"/>
            <w:noWrap/>
            <w:vAlign w:val="bottom"/>
            <w:hideMark/>
          </w:tcPr>
          <w:p w14:paraId="3CA9A17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1.0754</w:t>
            </w:r>
          </w:p>
        </w:tc>
        <w:tc>
          <w:tcPr>
            <w:tcW w:w="960" w:type="dxa"/>
            <w:tcBorders>
              <w:top w:val="nil"/>
              <w:left w:val="single" w:sz="4" w:space="0" w:color="auto"/>
              <w:bottom w:val="nil"/>
              <w:right w:val="single" w:sz="4" w:space="0" w:color="auto"/>
            </w:tcBorders>
            <w:shd w:val="clear" w:color="auto" w:fill="auto"/>
            <w:noWrap/>
            <w:vAlign w:val="bottom"/>
            <w:hideMark/>
          </w:tcPr>
          <w:p w14:paraId="52A3153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1.0158</w:t>
            </w:r>
          </w:p>
        </w:tc>
        <w:tc>
          <w:tcPr>
            <w:tcW w:w="960" w:type="dxa"/>
            <w:tcBorders>
              <w:top w:val="nil"/>
              <w:left w:val="nil"/>
              <w:bottom w:val="nil"/>
              <w:right w:val="single" w:sz="4" w:space="0" w:color="auto"/>
            </w:tcBorders>
            <w:shd w:val="clear" w:color="auto" w:fill="auto"/>
            <w:noWrap/>
            <w:vAlign w:val="bottom"/>
            <w:hideMark/>
          </w:tcPr>
          <w:p w14:paraId="5570A19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1.0924</w:t>
            </w:r>
          </w:p>
        </w:tc>
      </w:tr>
      <w:tr w:rsidR="00A30676" w:rsidRPr="00430BCF" w14:paraId="31A4DB90"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6D201541"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2006</w:t>
            </w:r>
          </w:p>
        </w:tc>
        <w:tc>
          <w:tcPr>
            <w:tcW w:w="1020" w:type="dxa"/>
            <w:tcBorders>
              <w:top w:val="nil"/>
              <w:left w:val="nil"/>
              <w:bottom w:val="nil"/>
              <w:right w:val="nil"/>
            </w:tcBorders>
            <w:shd w:val="clear" w:color="auto" w:fill="auto"/>
            <w:noWrap/>
            <w:vAlign w:val="bottom"/>
            <w:hideMark/>
          </w:tcPr>
          <w:p w14:paraId="02DC43FF"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0.9593</w:t>
            </w:r>
          </w:p>
        </w:tc>
        <w:tc>
          <w:tcPr>
            <w:tcW w:w="900" w:type="dxa"/>
            <w:tcBorders>
              <w:top w:val="nil"/>
              <w:left w:val="single" w:sz="4" w:space="0" w:color="auto"/>
              <w:bottom w:val="nil"/>
              <w:right w:val="single" w:sz="4" w:space="0" w:color="auto"/>
            </w:tcBorders>
            <w:shd w:val="clear" w:color="auto" w:fill="auto"/>
            <w:noWrap/>
            <w:vAlign w:val="bottom"/>
            <w:hideMark/>
          </w:tcPr>
          <w:p w14:paraId="572937F8"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1.0088</w:t>
            </w:r>
          </w:p>
        </w:tc>
        <w:tc>
          <w:tcPr>
            <w:tcW w:w="960" w:type="dxa"/>
            <w:tcBorders>
              <w:top w:val="nil"/>
              <w:left w:val="nil"/>
              <w:bottom w:val="nil"/>
              <w:right w:val="single" w:sz="4" w:space="0" w:color="auto"/>
            </w:tcBorders>
            <w:shd w:val="clear" w:color="auto" w:fill="auto"/>
            <w:noWrap/>
            <w:vAlign w:val="bottom"/>
            <w:hideMark/>
          </w:tcPr>
          <w:p w14:paraId="635516FC"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0.9677</w:t>
            </w:r>
          </w:p>
        </w:tc>
        <w:tc>
          <w:tcPr>
            <w:tcW w:w="960" w:type="dxa"/>
            <w:tcBorders>
              <w:top w:val="nil"/>
              <w:left w:val="nil"/>
              <w:bottom w:val="nil"/>
              <w:right w:val="nil"/>
            </w:tcBorders>
            <w:shd w:val="clear" w:color="auto" w:fill="auto"/>
            <w:noWrap/>
            <w:vAlign w:val="bottom"/>
            <w:hideMark/>
          </w:tcPr>
          <w:p w14:paraId="525FB5FC"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0.9550</w:t>
            </w:r>
          </w:p>
        </w:tc>
        <w:tc>
          <w:tcPr>
            <w:tcW w:w="960" w:type="dxa"/>
            <w:tcBorders>
              <w:top w:val="nil"/>
              <w:left w:val="single" w:sz="4" w:space="0" w:color="auto"/>
              <w:bottom w:val="nil"/>
              <w:right w:val="single" w:sz="4" w:space="0" w:color="auto"/>
            </w:tcBorders>
            <w:shd w:val="clear" w:color="auto" w:fill="auto"/>
            <w:noWrap/>
            <w:vAlign w:val="bottom"/>
            <w:hideMark/>
          </w:tcPr>
          <w:p w14:paraId="3CD568BA"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1.0016</w:t>
            </w:r>
          </w:p>
        </w:tc>
        <w:tc>
          <w:tcPr>
            <w:tcW w:w="960" w:type="dxa"/>
            <w:tcBorders>
              <w:top w:val="nil"/>
              <w:left w:val="nil"/>
              <w:bottom w:val="nil"/>
              <w:right w:val="single" w:sz="4" w:space="0" w:color="auto"/>
            </w:tcBorders>
            <w:shd w:val="clear" w:color="auto" w:fill="auto"/>
            <w:noWrap/>
            <w:vAlign w:val="bottom"/>
            <w:hideMark/>
          </w:tcPr>
          <w:p w14:paraId="621F7BCA"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0.9566</w:t>
            </w:r>
          </w:p>
        </w:tc>
        <w:tc>
          <w:tcPr>
            <w:tcW w:w="964" w:type="dxa"/>
            <w:tcBorders>
              <w:top w:val="nil"/>
              <w:left w:val="nil"/>
              <w:bottom w:val="nil"/>
              <w:right w:val="nil"/>
            </w:tcBorders>
            <w:shd w:val="clear" w:color="auto" w:fill="auto"/>
            <w:noWrap/>
            <w:vAlign w:val="bottom"/>
            <w:hideMark/>
          </w:tcPr>
          <w:p w14:paraId="6CDCD483"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1.0555</w:t>
            </w:r>
          </w:p>
        </w:tc>
        <w:tc>
          <w:tcPr>
            <w:tcW w:w="960" w:type="dxa"/>
            <w:tcBorders>
              <w:top w:val="nil"/>
              <w:left w:val="single" w:sz="4" w:space="0" w:color="auto"/>
              <w:bottom w:val="nil"/>
              <w:right w:val="single" w:sz="4" w:space="0" w:color="auto"/>
            </w:tcBorders>
            <w:shd w:val="clear" w:color="auto" w:fill="auto"/>
            <w:noWrap/>
            <w:vAlign w:val="bottom"/>
            <w:hideMark/>
          </w:tcPr>
          <w:p w14:paraId="6ED1A783"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1.0159</w:t>
            </w:r>
          </w:p>
        </w:tc>
        <w:tc>
          <w:tcPr>
            <w:tcW w:w="960" w:type="dxa"/>
            <w:tcBorders>
              <w:top w:val="nil"/>
              <w:left w:val="nil"/>
              <w:bottom w:val="nil"/>
              <w:right w:val="single" w:sz="4" w:space="0" w:color="auto"/>
            </w:tcBorders>
            <w:shd w:val="clear" w:color="auto" w:fill="auto"/>
            <w:noWrap/>
            <w:vAlign w:val="bottom"/>
            <w:hideMark/>
          </w:tcPr>
          <w:p w14:paraId="7C144B9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1.0723</w:t>
            </w:r>
          </w:p>
        </w:tc>
      </w:tr>
      <w:tr w:rsidR="00A30676" w:rsidRPr="00430BCF" w14:paraId="42A2AC7D"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1C87F8F5"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2007</w:t>
            </w:r>
          </w:p>
        </w:tc>
        <w:tc>
          <w:tcPr>
            <w:tcW w:w="1020" w:type="dxa"/>
            <w:tcBorders>
              <w:top w:val="nil"/>
              <w:left w:val="nil"/>
              <w:bottom w:val="nil"/>
              <w:right w:val="nil"/>
            </w:tcBorders>
            <w:shd w:val="clear" w:color="auto" w:fill="auto"/>
            <w:noWrap/>
            <w:vAlign w:val="bottom"/>
            <w:hideMark/>
          </w:tcPr>
          <w:p w14:paraId="27669A15"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0.9954</w:t>
            </w:r>
          </w:p>
        </w:tc>
        <w:tc>
          <w:tcPr>
            <w:tcW w:w="900" w:type="dxa"/>
            <w:tcBorders>
              <w:top w:val="nil"/>
              <w:left w:val="single" w:sz="4" w:space="0" w:color="auto"/>
              <w:bottom w:val="nil"/>
              <w:right w:val="single" w:sz="4" w:space="0" w:color="auto"/>
            </w:tcBorders>
            <w:shd w:val="clear" w:color="auto" w:fill="auto"/>
            <w:noWrap/>
            <w:vAlign w:val="bottom"/>
            <w:hideMark/>
          </w:tcPr>
          <w:p w14:paraId="2631F19F"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1.0082</w:t>
            </w:r>
          </w:p>
        </w:tc>
        <w:tc>
          <w:tcPr>
            <w:tcW w:w="960" w:type="dxa"/>
            <w:tcBorders>
              <w:top w:val="nil"/>
              <w:left w:val="nil"/>
              <w:bottom w:val="nil"/>
              <w:right w:val="single" w:sz="4" w:space="0" w:color="auto"/>
            </w:tcBorders>
            <w:shd w:val="clear" w:color="auto" w:fill="auto"/>
            <w:noWrap/>
            <w:vAlign w:val="bottom"/>
            <w:hideMark/>
          </w:tcPr>
          <w:p w14:paraId="650F1A01"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1.0037</w:t>
            </w:r>
          </w:p>
        </w:tc>
        <w:tc>
          <w:tcPr>
            <w:tcW w:w="960" w:type="dxa"/>
            <w:tcBorders>
              <w:top w:val="nil"/>
              <w:left w:val="nil"/>
              <w:bottom w:val="nil"/>
              <w:right w:val="nil"/>
            </w:tcBorders>
            <w:shd w:val="clear" w:color="auto" w:fill="auto"/>
            <w:noWrap/>
            <w:vAlign w:val="bottom"/>
            <w:hideMark/>
          </w:tcPr>
          <w:p w14:paraId="0F658FE1"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1.0032</w:t>
            </w:r>
          </w:p>
        </w:tc>
        <w:tc>
          <w:tcPr>
            <w:tcW w:w="960" w:type="dxa"/>
            <w:tcBorders>
              <w:top w:val="nil"/>
              <w:left w:val="single" w:sz="4" w:space="0" w:color="auto"/>
              <w:bottom w:val="nil"/>
              <w:right w:val="single" w:sz="4" w:space="0" w:color="auto"/>
            </w:tcBorders>
            <w:shd w:val="clear" w:color="auto" w:fill="auto"/>
            <w:noWrap/>
            <w:vAlign w:val="bottom"/>
            <w:hideMark/>
          </w:tcPr>
          <w:p w14:paraId="464D5359"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1.0015</w:t>
            </w:r>
          </w:p>
        </w:tc>
        <w:tc>
          <w:tcPr>
            <w:tcW w:w="960" w:type="dxa"/>
            <w:tcBorders>
              <w:top w:val="nil"/>
              <w:left w:val="nil"/>
              <w:bottom w:val="nil"/>
              <w:right w:val="single" w:sz="4" w:space="0" w:color="auto"/>
            </w:tcBorders>
            <w:shd w:val="clear" w:color="auto" w:fill="auto"/>
            <w:noWrap/>
            <w:vAlign w:val="bottom"/>
            <w:hideMark/>
          </w:tcPr>
          <w:p w14:paraId="1F836868"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1.0047</w:t>
            </w:r>
          </w:p>
        </w:tc>
        <w:tc>
          <w:tcPr>
            <w:tcW w:w="964" w:type="dxa"/>
            <w:tcBorders>
              <w:top w:val="nil"/>
              <w:left w:val="nil"/>
              <w:bottom w:val="nil"/>
              <w:right w:val="nil"/>
            </w:tcBorders>
            <w:shd w:val="clear" w:color="auto" w:fill="auto"/>
            <w:noWrap/>
            <w:vAlign w:val="bottom"/>
            <w:hideMark/>
          </w:tcPr>
          <w:p w14:paraId="0F4926EA"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0.9438</w:t>
            </w:r>
          </w:p>
        </w:tc>
        <w:tc>
          <w:tcPr>
            <w:tcW w:w="960" w:type="dxa"/>
            <w:tcBorders>
              <w:top w:val="nil"/>
              <w:left w:val="single" w:sz="4" w:space="0" w:color="auto"/>
              <w:bottom w:val="nil"/>
              <w:right w:val="single" w:sz="4" w:space="0" w:color="auto"/>
            </w:tcBorders>
            <w:shd w:val="clear" w:color="auto" w:fill="auto"/>
            <w:noWrap/>
            <w:vAlign w:val="bottom"/>
            <w:hideMark/>
          </w:tcPr>
          <w:p w14:paraId="04669D4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1.0153</w:t>
            </w:r>
          </w:p>
        </w:tc>
        <w:tc>
          <w:tcPr>
            <w:tcW w:w="960" w:type="dxa"/>
            <w:tcBorders>
              <w:top w:val="nil"/>
              <w:left w:val="nil"/>
              <w:bottom w:val="nil"/>
              <w:right w:val="single" w:sz="4" w:space="0" w:color="auto"/>
            </w:tcBorders>
            <w:shd w:val="clear" w:color="auto" w:fill="auto"/>
            <w:noWrap/>
            <w:vAlign w:val="bottom"/>
            <w:hideMark/>
          </w:tcPr>
          <w:p w14:paraId="6FAC5E18"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0.9582</w:t>
            </w:r>
          </w:p>
        </w:tc>
      </w:tr>
      <w:tr w:rsidR="00A30676" w:rsidRPr="00430BCF" w14:paraId="353A8117"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75C0154B"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2008</w:t>
            </w:r>
          </w:p>
        </w:tc>
        <w:tc>
          <w:tcPr>
            <w:tcW w:w="1020" w:type="dxa"/>
            <w:tcBorders>
              <w:top w:val="nil"/>
              <w:left w:val="nil"/>
              <w:bottom w:val="nil"/>
              <w:right w:val="nil"/>
            </w:tcBorders>
            <w:shd w:val="clear" w:color="auto" w:fill="auto"/>
            <w:noWrap/>
            <w:vAlign w:val="bottom"/>
            <w:hideMark/>
          </w:tcPr>
          <w:p w14:paraId="64FDCEF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0.9871</w:t>
            </w:r>
          </w:p>
        </w:tc>
        <w:tc>
          <w:tcPr>
            <w:tcW w:w="900" w:type="dxa"/>
            <w:tcBorders>
              <w:top w:val="nil"/>
              <w:left w:val="single" w:sz="4" w:space="0" w:color="auto"/>
              <w:bottom w:val="nil"/>
              <w:right w:val="single" w:sz="4" w:space="0" w:color="auto"/>
            </w:tcBorders>
            <w:shd w:val="clear" w:color="auto" w:fill="auto"/>
            <w:noWrap/>
            <w:vAlign w:val="bottom"/>
            <w:hideMark/>
          </w:tcPr>
          <w:p w14:paraId="77F8AE3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1.0075</w:t>
            </w:r>
          </w:p>
        </w:tc>
        <w:tc>
          <w:tcPr>
            <w:tcW w:w="960" w:type="dxa"/>
            <w:tcBorders>
              <w:top w:val="nil"/>
              <w:left w:val="nil"/>
              <w:bottom w:val="nil"/>
              <w:right w:val="single" w:sz="4" w:space="0" w:color="auto"/>
            </w:tcBorders>
            <w:shd w:val="clear" w:color="auto" w:fill="auto"/>
            <w:noWrap/>
            <w:vAlign w:val="bottom"/>
            <w:hideMark/>
          </w:tcPr>
          <w:p w14:paraId="1A407CCD"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0.9945</w:t>
            </w:r>
          </w:p>
        </w:tc>
        <w:tc>
          <w:tcPr>
            <w:tcW w:w="960" w:type="dxa"/>
            <w:tcBorders>
              <w:top w:val="nil"/>
              <w:left w:val="nil"/>
              <w:bottom w:val="nil"/>
              <w:right w:val="nil"/>
            </w:tcBorders>
            <w:shd w:val="clear" w:color="auto" w:fill="auto"/>
            <w:noWrap/>
            <w:vAlign w:val="bottom"/>
            <w:hideMark/>
          </w:tcPr>
          <w:p w14:paraId="37009206"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0.9356</w:t>
            </w:r>
          </w:p>
        </w:tc>
        <w:tc>
          <w:tcPr>
            <w:tcW w:w="960" w:type="dxa"/>
            <w:tcBorders>
              <w:top w:val="nil"/>
              <w:left w:val="single" w:sz="4" w:space="0" w:color="auto"/>
              <w:bottom w:val="nil"/>
              <w:right w:val="single" w:sz="4" w:space="0" w:color="auto"/>
            </w:tcBorders>
            <w:shd w:val="clear" w:color="auto" w:fill="auto"/>
            <w:noWrap/>
            <w:vAlign w:val="bottom"/>
            <w:hideMark/>
          </w:tcPr>
          <w:p w14:paraId="2BEEC9F2"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1.0009</w:t>
            </w:r>
          </w:p>
        </w:tc>
        <w:tc>
          <w:tcPr>
            <w:tcW w:w="960" w:type="dxa"/>
            <w:tcBorders>
              <w:top w:val="nil"/>
              <w:left w:val="nil"/>
              <w:bottom w:val="nil"/>
              <w:right w:val="single" w:sz="4" w:space="0" w:color="auto"/>
            </w:tcBorders>
            <w:shd w:val="clear" w:color="auto" w:fill="auto"/>
            <w:noWrap/>
            <w:vAlign w:val="bottom"/>
            <w:hideMark/>
          </w:tcPr>
          <w:p w14:paraId="02C6139F"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0.9365</w:t>
            </w:r>
          </w:p>
        </w:tc>
        <w:tc>
          <w:tcPr>
            <w:tcW w:w="964" w:type="dxa"/>
            <w:tcBorders>
              <w:top w:val="nil"/>
              <w:left w:val="nil"/>
              <w:bottom w:val="nil"/>
              <w:right w:val="nil"/>
            </w:tcBorders>
            <w:shd w:val="clear" w:color="auto" w:fill="auto"/>
            <w:noWrap/>
            <w:vAlign w:val="bottom"/>
            <w:hideMark/>
          </w:tcPr>
          <w:p w14:paraId="03EB71EA"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1.0611</w:t>
            </w:r>
          </w:p>
        </w:tc>
        <w:tc>
          <w:tcPr>
            <w:tcW w:w="960" w:type="dxa"/>
            <w:tcBorders>
              <w:top w:val="nil"/>
              <w:left w:val="single" w:sz="4" w:space="0" w:color="auto"/>
              <w:bottom w:val="nil"/>
              <w:right w:val="single" w:sz="4" w:space="0" w:color="auto"/>
            </w:tcBorders>
            <w:shd w:val="clear" w:color="auto" w:fill="auto"/>
            <w:noWrap/>
            <w:vAlign w:val="bottom"/>
            <w:hideMark/>
          </w:tcPr>
          <w:p w14:paraId="7A7DC57E"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1.0144</w:t>
            </w:r>
          </w:p>
        </w:tc>
        <w:tc>
          <w:tcPr>
            <w:tcW w:w="960" w:type="dxa"/>
            <w:tcBorders>
              <w:top w:val="nil"/>
              <w:left w:val="nil"/>
              <w:bottom w:val="nil"/>
              <w:right w:val="single" w:sz="4" w:space="0" w:color="auto"/>
            </w:tcBorders>
            <w:shd w:val="clear" w:color="auto" w:fill="auto"/>
            <w:noWrap/>
            <w:vAlign w:val="bottom"/>
            <w:hideMark/>
          </w:tcPr>
          <w:p w14:paraId="460E7F68"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1.0764</w:t>
            </w:r>
          </w:p>
        </w:tc>
      </w:tr>
      <w:tr w:rsidR="00A30676" w:rsidRPr="00430BCF" w14:paraId="3A49FB7F"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20770DB3"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2009</w:t>
            </w:r>
          </w:p>
        </w:tc>
        <w:tc>
          <w:tcPr>
            <w:tcW w:w="1020" w:type="dxa"/>
            <w:tcBorders>
              <w:top w:val="nil"/>
              <w:left w:val="nil"/>
              <w:bottom w:val="nil"/>
              <w:right w:val="nil"/>
            </w:tcBorders>
            <w:shd w:val="clear" w:color="auto" w:fill="auto"/>
            <w:noWrap/>
            <w:vAlign w:val="bottom"/>
            <w:hideMark/>
          </w:tcPr>
          <w:p w14:paraId="1255444D"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1.0409</w:t>
            </w:r>
          </w:p>
        </w:tc>
        <w:tc>
          <w:tcPr>
            <w:tcW w:w="900" w:type="dxa"/>
            <w:tcBorders>
              <w:top w:val="nil"/>
              <w:left w:val="single" w:sz="4" w:space="0" w:color="auto"/>
              <w:bottom w:val="nil"/>
              <w:right w:val="single" w:sz="4" w:space="0" w:color="auto"/>
            </w:tcBorders>
            <w:shd w:val="clear" w:color="auto" w:fill="auto"/>
            <w:noWrap/>
            <w:vAlign w:val="bottom"/>
            <w:hideMark/>
          </w:tcPr>
          <w:p w14:paraId="6C2A0142"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1.0061</w:t>
            </w:r>
          </w:p>
        </w:tc>
        <w:tc>
          <w:tcPr>
            <w:tcW w:w="960" w:type="dxa"/>
            <w:tcBorders>
              <w:top w:val="nil"/>
              <w:left w:val="nil"/>
              <w:bottom w:val="nil"/>
              <w:right w:val="single" w:sz="4" w:space="0" w:color="auto"/>
            </w:tcBorders>
            <w:shd w:val="clear" w:color="auto" w:fill="auto"/>
            <w:noWrap/>
            <w:vAlign w:val="bottom"/>
            <w:hideMark/>
          </w:tcPr>
          <w:p w14:paraId="227F1F2A"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1.0472</w:t>
            </w:r>
          </w:p>
        </w:tc>
        <w:tc>
          <w:tcPr>
            <w:tcW w:w="960" w:type="dxa"/>
            <w:tcBorders>
              <w:top w:val="nil"/>
              <w:left w:val="nil"/>
              <w:bottom w:val="nil"/>
              <w:right w:val="nil"/>
            </w:tcBorders>
            <w:shd w:val="clear" w:color="auto" w:fill="auto"/>
            <w:noWrap/>
            <w:vAlign w:val="bottom"/>
            <w:hideMark/>
          </w:tcPr>
          <w:p w14:paraId="01DB4E2D"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1.0024</w:t>
            </w:r>
          </w:p>
        </w:tc>
        <w:tc>
          <w:tcPr>
            <w:tcW w:w="960" w:type="dxa"/>
            <w:tcBorders>
              <w:top w:val="nil"/>
              <w:left w:val="single" w:sz="4" w:space="0" w:color="auto"/>
              <w:bottom w:val="nil"/>
              <w:right w:val="single" w:sz="4" w:space="0" w:color="auto"/>
            </w:tcBorders>
            <w:shd w:val="clear" w:color="auto" w:fill="auto"/>
            <w:noWrap/>
            <w:vAlign w:val="bottom"/>
            <w:hideMark/>
          </w:tcPr>
          <w:p w14:paraId="5552C58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1.0019</w:t>
            </w:r>
          </w:p>
        </w:tc>
        <w:tc>
          <w:tcPr>
            <w:tcW w:w="960" w:type="dxa"/>
            <w:tcBorders>
              <w:top w:val="nil"/>
              <w:left w:val="nil"/>
              <w:bottom w:val="nil"/>
              <w:right w:val="single" w:sz="4" w:space="0" w:color="auto"/>
            </w:tcBorders>
            <w:shd w:val="clear" w:color="auto" w:fill="auto"/>
            <w:noWrap/>
            <w:vAlign w:val="bottom"/>
            <w:hideMark/>
          </w:tcPr>
          <w:p w14:paraId="636F9F55"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1.0043</w:t>
            </w:r>
          </w:p>
        </w:tc>
        <w:tc>
          <w:tcPr>
            <w:tcW w:w="964" w:type="dxa"/>
            <w:tcBorders>
              <w:top w:val="nil"/>
              <w:left w:val="nil"/>
              <w:bottom w:val="nil"/>
              <w:right w:val="nil"/>
            </w:tcBorders>
            <w:shd w:val="clear" w:color="auto" w:fill="auto"/>
            <w:noWrap/>
            <w:vAlign w:val="bottom"/>
            <w:hideMark/>
          </w:tcPr>
          <w:p w14:paraId="4C407CEF"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1.0522</w:t>
            </w:r>
          </w:p>
        </w:tc>
        <w:tc>
          <w:tcPr>
            <w:tcW w:w="960" w:type="dxa"/>
            <w:tcBorders>
              <w:top w:val="nil"/>
              <w:left w:val="single" w:sz="4" w:space="0" w:color="auto"/>
              <w:bottom w:val="nil"/>
              <w:right w:val="single" w:sz="4" w:space="0" w:color="auto"/>
            </w:tcBorders>
            <w:shd w:val="clear" w:color="auto" w:fill="auto"/>
            <w:noWrap/>
            <w:vAlign w:val="bottom"/>
            <w:hideMark/>
          </w:tcPr>
          <w:p w14:paraId="6105BCBB"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1.0090</w:t>
            </w:r>
          </w:p>
        </w:tc>
        <w:tc>
          <w:tcPr>
            <w:tcW w:w="960" w:type="dxa"/>
            <w:tcBorders>
              <w:top w:val="nil"/>
              <w:left w:val="nil"/>
              <w:bottom w:val="nil"/>
              <w:right w:val="single" w:sz="4" w:space="0" w:color="auto"/>
            </w:tcBorders>
            <w:shd w:val="clear" w:color="auto" w:fill="auto"/>
            <w:noWrap/>
            <w:vAlign w:val="bottom"/>
            <w:hideMark/>
          </w:tcPr>
          <w:p w14:paraId="34263EF5"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1.0617</w:t>
            </w:r>
          </w:p>
        </w:tc>
      </w:tr>
      <w:tr w:rsidR="00A30676" w:rsidRPr="00430BCF" w14:paraId="314C2B6B"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4341FD58"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2010</w:t>
            </w:r>
          </w:p>
        </w:tc>
        <w:tc>
          <w:tcPr>
            <w:tcW w:w="1020" w:type="dxa"/>
            <w:tcBorders>
              <w:top w:val="nil"/>
              <w:left w:val="nil"/>
              <w:bottom w:val="nil"/>
              <w:right w:val="nil"/>
            </w:tcBorders>
            <w:shd w:val="clear" w:color="auto" w:fill="auto"/>
            <w:noWrap/>
            <w:vAlign w:val="bottom"/>
            <w:hideMark/>
          </w:tcPr>
          <w:p w14:paraId="55A0FA6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1.0038</w:t>
            </w:r>
          </w:p>
        </w:tc>
        <w:tc>
          <w:tcPr>
            <w:tcW w:w="900" w:type="dxa"/>
            <w:tcBorders>
              <w:top w:val="nil"/>
              <w:left w:val="single" w:sz="4" w:space="0" w:color="auto"/>
              <w:bottom w:val="nil"/>
              <w:right w:val="single" w:sz="4" w:space="0" w:color="auto"/>
            </w:tcBorders>
            <w:shd w:val="clear" w:color="auto" w:fill="auto"/>
            <w:noWrap/>
            <w:vAlign w:val="bottom"/>
            <w:hideMark/>
          </w:tcPr>
          <w:p w14:paraId="1BB213D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1.0059</w:t>
            </w:r>
          </w:p>
        </w:tc>
        <w:tc>
          <w:tcPr>
            <w:tcW w:w="960" w:type="dxa"/>
            <w:tcBorders>
              <w:top w:val="nil"/>
              <w:left w:val="nil"/>
              <w:bottom w:val="nil"/>
              <w:right w:val="single" w:sz="4" w:space="0" w:color="auto"/>
            </w:tcBorders>
            <w:shd w:val="clear" w:color="auto" w:fill="auto"/>
            <w:noWrap/>
            <w:vAlign w:val="bottom"/>
            <w:hideMark/>
          </w:tcPr>
          <w:p w14:paraId="19AECB5C"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1.0097</w:t>
            </w:r>
          </w:p>
        </w:tc>
        <w:tc>
          <w:tcPr>
            <w:tcW w:w="960" w:type="dxa"/>
            <w:tcBorders>
              <w:top w:val="nil"/>
              <w:left w:val="nil"/>
              <w:bottom w:val="nil"/>
              <w:right w:val="nil"/>
            </w:tcBorders>
            <w:shd w:val="clear" w:color="auto" w:fill="auto"/>
            <w:noWrap/>
            <w:vAlign w:val="bottom"/>
            <w:hideMark/>
          </w:tcPr>
          <w:p w14:paraId="61BC561F"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1.0282</w:t>
            </w:r>
          </w:p>
        </w:tc>
        <w:tc>
          <w:tcPr>
            <w:tcW w:w="960" w:type="dxa"/>
            <w:tcBorders>
              <w:top w:val="nil"/>
              <w:left w:val="single" w:sz="4" w:space="0" w:color="auto"/>
              <w:bottom w:val="nil"/>
              <w:right w:val="single" w:sz="4" w:space="0" w:color="auto"/>
            </w:tcBorders>
            <w:shd w:val="clear" w:color="auto" w:fill="auto"/>
            <w:noWrap/>
            <w:vAlign w:val="bottom"/>
            <w:hideMark/>
          </w:tcPr>
          <w:p w14:paraId="1140CAF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1.0048</w:t>
            </w:r>
          </w:p>
        </w:tc>
        <w:tc>
          <w:tcPr>
            <w:tcW w:w="960" w:type="dxa"/>
            <w:tcBorders>
              <w:top w:val="nil"/>
              <w:left w:val="nil"/>
              <w:bottom w:val="nil"/>
              <w:right w:val="single" w:sz="4" w:space="0" w:color="auto"/>
            </w:tcBorders>
            <w:shd w:val="clear" w:color="auto" w:fill="auto"/>
            <w:noWrap/>
            <w:vAlign w:val="bottom"/>
            <w:hideMark/>
          </w:tcPr>
          <w:p w14:paraId="7DB7283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1.0331</w:t>
            </w:r>
          </w:p>
        </w:tc>
        <w:tc>
          <w:tcPr>
            <w:tcW w:w="964" w:type="dxa"/>
            <w:tcBorders>
              <w:top w:val="nil"/>
              <w:left w:val="nil"/>
              <w:bottom w:val="nil"/>
              <w:right w:val="nil"/>
            </w:tcBorders>
            <w:shd w:val="clear" w:color="auto" w:fill="auto"/>
            <w:noWrap/>
            <w:vAlign w:val="bottom"/>
            <w:hideMark/>
          </w:tcPr>
          <w:p w14:paraId="768DBE0F"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1.0143</w:t>
            </w:r>
          </w:p>
        </w:tc>
        <w:tc>
          <w:tcPr>
            <w:tcW w:w="960" w:type="dxa"/>
            <w:tcBorders>
              <w:top w:val="nil"/>
              <w:left w:val="single" w:sz="4" w:space="0" w:color="auto"/>
              <w:bottom w:val="nil"/>
              <w:right w:val="single" w:sz="4" w:space="0" w:color="auto"/>
            </w:tcBorders>
            <w:shd w:val="clear" w:color="auto" w:fill="auto"/>
            <w:noWrap/>
            <w:vAlign w:val="bottom"/>
            <w:hideMark/>
          </w:tcPr>
          <w:p w14:paraId="36C132C5"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1.0015</w:t>
            </w:r>
          </w:p>
        </w:tc>
        <w:tc>
          <w:tcPr>
            <w:tcW w:w="960" w:type="dxa"/>
            <w:tcBorders>
              <w:top w:val="nil"/>
              <w:left w:val="nil"/>
              <w:bottom w:val="nil"/>
              <w:right w:val="single" w:sz="4" w:space="0" w:color="auto"/>
            </w:tcBorders>
            <w:shd w:val="clear" w:color="auto" w:fill="auto"/>
            <w:noWrap/>
            <w:vAlign w:val="bottom"/>
            <w:hideMark/>
          </w:tcPr>
          <w:p w14:paraId="2CC58A02"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1.0159</w:t>
            </w:r>
          </w:p>
        </w:tc>
      </w:tr>
      <w:tr w:rsidR="00A30676" w:rsidRPr="00430BCF" w14:paraId="610EF62E"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522A86A8"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2011</w:t>
            </w:r>
          </w:p>
        </w:tc>
        <w:tc>
          <w:tcPr>
            <w:tcW w:w="1020" w:type="dxa"/>
            <w:tcBorders>
              <w:top w:val="nil"/>
              <w:left w:val="nil"/>
              <w:bottom w:val="nil"/>
              <w:right w:val="nil"/>
            </w:tcBorders>
            <w:shd w:val="clear" w:color="auto" w:fill="auto"/>
            <w:noWrap/>
            <w:vAlign w:val="bottom"/>
            <w:hideMark/>
          </w:tcPr>
          <w:p w14:paraId="447CAC41"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1.0031</w:t>
            </w:r>
          </w:p>
        </w:tc>
        <w:tc>
          <w:tcPr>
            <w:tcW w:w="900" w:type="dxa"/>
            <w:tcBorders>
              <w:top w:val="nil"/>
              <w:left w:val="single" w:sz="4" w:space="0" w:color="auto"/>
              <w:bottom w:val="nil"/>
              <w:right w:val="single" w:sz="4" w:space="0" w:color="auto"/>
            </w:tcBorders>
            <w:shd w:val="clear" w:color="auto" w:fill="auto"/>
            <w:noWrap/>
            <w:vAlign w:val="bottom"/>
            <w:hideMark/>
          </w:tcPr>
          <w:p w14:paraId="7DE90F8D"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1.0058</w:t>
            </w:r>
          </w:p>
        </w:tc>
        <w:tc>
          <w:tcPr>
            <w:tcW w:w="960" w:type="dxa"/>
            <w:tcBorders>
              <w:top w:val="nil"/>
              <w:left w:val="nil"/>
              <w:bottom w:val="nil"/>
              <w:right w:val="single" w:sz="4" w:space="0" w:color="auto"/>
            </w:tcBorders>
            <w:shd w:val="clear" w:color="auto" w:fill="auto"/>
            <w:noWrap/>
            <w:vAlign w:val="bottom"/>
            <w:hideMark/>
          </w:tcPr>
          <w:p w14:paraId="7106A189"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1.0090</w:t>
            </w:r>
          </w:p>
        </w:tc>
        <w:tc>
          <w:tcPr>
            <w:tcW w:w="960" w:type="dxa"/>
            <w:tcBorders>
              <w:top w:val="nil"/>
              <w:left w:val="nil"/>
              <w:bottom w:val="nil"/>
              <w:right w:val="nil"/>
            </w:tcBorders>
            <w:shd w:val="clear" w:color="auto" w:fill="auto"/>
            <w:noWrap/>
            <w:vAlign w:val="bottom"/>
            <w:hideMark/>
          </w:tcPr>
          <w:p w14:paraId="266FF4CA"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1.0534</w:t>
            </w:r>
          </w:p>
        </w:tc>
        <w:tc>
          <w:tcPr>
            <w:tcW w:w="960" w:type="dxa"/>
            <w:tcBorders>
              <w:top w:val="nil"/>
              <w:left w:val="single" w:sz="4" w:space="0" w:color="auto"/>
              <w:bottom w:val="nil"/>
              <w:right w:val="single" w:sz="4" w:space="0" w:color="auto"/>
            </w:tcBorders>
            <w:shd w:val="clear" w:color="auto" w:fill="auto"/>
            <w:noWrap/>
            <w:vAlign w:val="bottom"/>
            <w:hideMark/>
          </w:tcPr>
          <w:p w14:paraId="300EB224"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1.0036</w:t>
            </w:r>
          </w:p>
        </w:tc>
        <w:tc>
          <w:tcPr>
            <w:tcW w:w="960" w:type="dxa"/>
            <w:tcBorders>
              <w:top w:val="nil"/>
              <w:left w:val="nil"/>
              <w:bottom w:val="nil"/>
              <w:right w:val="single" w:sz="4" w:space="0" w:color="auto"/>
            </w:tcBorders>
            <w:shd w:val="clear" w:color="auto" w:fill="auto"/>
            <w:noWrap/>
            <w:vAlign w:val="bottom"/>
            <w:hideMark/>
          </w:tcPr>
          <w:p w14:paraId="3ED4D0DE"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1.0572</w:t>
            </w:r>
          </w:p>
        </w:tc>
        <w:tc>
          <w:tcPr>
            <w:tcW w:w="964" w:type="dxa"/>
            <w:tcBorders>
              <w:top w:val="nil"/>
              <w:left w:val="nil"/>
              <w:bottom w:val="nil"/>
              <w:right w:val="nil"/>
            </w:tcBorders>
            <w:shd w:val="clear" w:color="auto" w:fill="auto"/>
            <w:noWrap/>
            <w:vAlign w:val="bottom"/>
            <w:hideMark/>
          </w:tcPr>
          <w:p w14:paraId="055D9A8F"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1.0085</w:t>
            </w:r>
          </w:p>
        </w:tc>
        <w:tc>
          <w:tcPr>
            <w:tcW w:w="960" w:type="dxa"/>
            <w:tcBorders>
              <w:top w:val="nil"/>
              <w:left w:val="single" w:sz="4" w:space="0" w:color="auto"/>
              <w:bottom w:val="nil"/>
              <w:right w:val="single" w:sz="4" w:space="0" w:color="auto"/>
            </w:tcBorders>
            <w:shd w:val="clear" w:color="auto" w:fill="auto"/>
            <w:noWrap/>
            <w:vAlign w:val="bottom"/>
            <w:hideMark/>
          </w:tcPr>
          <w:p w14:paraId="72FF257B"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1.0008</w:t>
            </w:r>
          </w:p>
        </w:tc>
        <w:tc>
          <w:tcPr>
            <w:tcW w:w="960" w:type="dxa"/>
            <w:tcBorders>
              <w:top w:val="nil"/>
              <w:left w:val="nil"/>
              <w:bottom w:val="nil"/>
              <w:right w:val="single" w:sz="4" w:space="0" w:color="auto"/>
            </w:tcBorders>
            <w:shd w:val="clear" w:color="auto" w:fill="auto"/>
            <w:noWrap/>
            <w:vAlign w:val="bottom"/>
            <w:hideMark/>
          </w:tcPr>
          <w:p w14:paraId="414DCF1A"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1.0093</w:t>
            </w:r>
          </w:p>
        </w:tc>
      </w:tr>
      <w:tr w:rsidR="00A30676" w:rsidRPr="00430BCF" w14:paraId="2FC5694C"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16072578"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2012</w:t>
            </w:r>
          </w:p>
        </w:tc>
        <w:tc>
          <w:tcPr>
            <w:tcW w:w="1020" w:type="dxa"/>
            <w:tcBorders>
              <w:top w:val="nil"/>
              <w:left w:val="nil"/>
              <w:bottom w:val="nil"/>
              <w:right w:val="nil"/>
            </w:tcBorders>
            <w:shd w:val="clear" w:color="auto" w:fill="auto"/>
            <w:noWrap/>
            <w:vAlign w:val="bottom"/>
            <w:hideMark/>
          </w:tcPr>
          <w:p w14:paraId="2B352F82"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0.9725</w:t>
            </w:r>
          </w:p>
        </w:tc>
        <w:tc>
          <w:tcPr>
            <w:tcW w:w="900" w:type="dxa"/>
            <w:tcBorders>
              <w:top w:val="nil"/>
              <w:left w:val="single" w:sz="4" w:space="0" w:color="auto"/>
              <w:bottom w:val="nil"/>
              <w:right w:val="single" w:sz="4" w:space="0" w:color="auto"/>
            </w:tcBorders>
            <w:shd w:val="clear" w:color="auto" w:fill="auto"/>
            <w:noWrap/>
            <w:vAlign w:val="bottom"/>
            <w:hideMark/>
          </w:tcPr>
          <w:p w14:paraId="326C4992"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1.0050</w:t>
            </w:r>
          </w:p>
        </w:tc>
        <w:tc>
          <w:tcPr>
            <w:tcW w:w="960" w:type="dxa"/>
            <w:tcBorders>
              <w:top w:val="nil"/>
              <w:left w:val="nil"/>
              <w:bottom w:val="nil"/>
              <w:right w:val="single" w:sz="4" w:space="0" w:color="auto"/>
            </w:tcBorders>
            <w:shd w:val="clear" w:color="auto" w:fill="auto"/>
            <w:noWrap/>
            <w:vAlign w:val="bottom"/>
            <w:hideMark/>
          </w:tcPr>
          <w:p w14:paraId="7F4F3A7B"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0.9774</w:t>
            </w:r>
          </w:p>
        </w:tc>
        <w:tc>
          <w:tcPr>
            <w:tcW w:w="960" w:type="dxa"/>
            <w:tcBorders>
              <w:top w:val="nil"/>
              <w:left w:val="nil"/>
              <w:bottom w:val="nil"/>
              <w:right w:val="nil"/>
            </w:tcBorders>
            <w:shd w:val="clear" w:color="auto" w:fill="auto"/>
            <w:noWrap/>
            <w:vAlign w:val="bottom"/>
            <w:hideMark/>
          </w:tcPr>
          <w:p w14:paraId="1D8375B9"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1.0056</w:t>
            </w:r>
          </w:p>
        </w:tc>
        <w:tc>
          <w:tcPr>
            <w:tcW w:w="960" w:type="dxa"/>
            <w:tcBorders>
              <w:top w:val="nil"/>
              <w:left w:val="single" w:sz="4" w:space="0" w:color="auto"/>
              <w:bottom w:val="nil"/>
              <w:right w:val="single" w:sz="4" w:space="0" w:color="auto"/>
            </w:tcBorders>
            <w:shd w:val="clear" w:color="auto" w:fill="auto"/>
            <w:noWrap/>
            <w:vAlign w:val="bottom"/>
            <w:hideMark/>
          </w:tcPr>
          <w:p w14:paraId="5748098E"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1.0032</w:t>
            </w:r>
          </w:p>
        </w:tc>
        <w:tc>
          <w:tcPr>
            <w:tcW w:w="960" w:type="dxa"/>
            <w:tcBorders>
              <w:top w:val="nil"/>
              <w:left w:val="nil"/>
              <w:bottom w:val="nil"/>
              <w:right w:val="single" w:sz="4" w:space="0" w:color="auto"/>
            </w:tcBorders>
            <w:shd w:val="clear" w:color="auto" w:fill="auto"/>
            <w:noWrap/>
            <w:vAlign w:val="bottom"/>
            <w:hideMark/>
          </w:tcPr>
          <w:p w14:paraId="01A37424"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1.0088</w:t>
            </w:r>
          </w:p>
        </w:tc>
        <w:tc>
          <w:tcPr>
            <w:tcW w:w="964" w:type="dxa"/>
            <w:tcBorders>
              <w:top w:val="nil"/>
              <w:left w:val="nil"/>
              <w:bottom w:val="nil"/>
              <w:right w:val="nil"/>
            </w:tcBorders>
            <w:shd w:val="clear" w:color="auto" w:fill="auto"/>
            <w:noWrap/>
            <w:vAlign w:val="bottom"/>
            <w:hideMark/>
          </w:tcPr>
          <w:p w14:paraId="76AB3D9A"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1.0214</w:t>
            </w:r>
          </w:p>
        </w:tc>
        <w:tc>
          <w:tcPr>
            <w:tcW w:w="960" w:type="dxa"/>
            <w:tcBorders>
              <w:top w:val="nil"/>
              <w:left w:val="single" w:sz="4" w:space="0" w:color="auto"/>
              <w:bottom w:val="nil"/>
              <w:right w:val="single" w:sz="4" w:space="0" w:color="auto"/>
            </w:tcBorders>
            <w:shd w:val="clear" w:color="auto" w:fill="auto"/>
            <w:noWrap/>
            <w:vAlign w:val="bottom"/>
            <w:hideMark/>
          </w:tcPr>
          <w:p w14:paraId="22672373"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1.0009</w:t>
            </w:r>
          </w:p>
        </w:tc>
        <w:tc>
          <w:tcPr>
            <w:tcW w:w="960" w:type="dxa"/>
            <w:tcBorders>
              <w:top w:val="nil"/>
              <w:left w:val="nil"/>
              <w:bottom w:val="nil"/>
              <w:right w:val="single" w:sz="4" w:space="0" w:color="auto"/>
            </w:tcBorders>
            <w:shd w:val="clear" w:color="auto" w:fill="auto"/>
            <w:noWrap/>
            <w:vAlign w:val="bottom"/>
            <w:hideMark/>
          </w:tcPr>
          <w:p w14:paraId="69C7C45F"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1.0223</w:t>
            </w:r>
          </w:p>
        </w:tc>
      </w:tr>
      <w:tr w:rsidR="00A30676" w:rsidRPr="00430BCF" w14:paraId="16E7F057"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43655AF5"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2013</w:t>
            </w:r>
          </w:p>
        </w:tc>
        <w:tc>
          <w:tcPr>
            <w:tcW w:w="1020" w:type="dxa"/>
            <w:tcBorders>
              <w:top w:val="nil"/>
              <w:left w:val="nil"/>
              <w:bottom w:val="nil"/>
              <w:right w:val="nil"/>
            </w:tcBorders>
            <w:shd w:val="clear" w:color="auto" w:fill="auto"/>
            <w:noWrap/>
            <w:vAlign w:val="bottom"/>
            <w:hideMark/>
          </w:tcPr>
          <w:p w14:paraId="225F3462"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0.9911</w:t>
            </w:r>
          </w:p>
        </w:tc>
        <w:tc>
          <w:tcPr>
            <w:tcW w:w="900" w:type="dxa"/>
            <w:tcBorders>
              <w:top w:val="nil"/>
              <w:left w:val="single" w:sz="4" w:space="0" w:color="auto"/>
              <w:bottom w:val="nil"/>
              <w:right w:val="single" w:sz="4" w:space="0" w:color="auto"/>
            </w:tcBorders>
            <w:shd w:val="clear" w:color="auto" w:fill="auto"/>
            <w:noWrap/>
            <w:vAlign w:val="bottom"/>
            <w:hideMark/>
          </w:tcPr>
          <w:p w14:paraId="3969631A"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1.0054</w:t>
            </w:r>
          </w:p>
        </w:tc>
        <w:tc>
          <w:tcPr>
            <w:tcW w:w="960" w:type="dxa"/>
            <w:tcBorders>
              <w:top w:val="nil"/>
              <w:left w:val="nil"/>
              <w:bottom w:val="nil"/>
              <w:right w:val="single" w:sz="4" w:space="0" w:color="auto"/>
            </w:tcBorders>
            <w:shd w:val="clear" w:color="auto" w:fill="auto"/>
            <w:noWrap/>
            <w:vAlign w:val="bottom"/>
            <w:hideMark/>
          </w:tcPr>
          <w:p w14:paraId="1B0BAB92"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0.9965</w:t>
            </w:r>
          </w:p>
        </w:tc>
        <w:tc>
          <w:tcPr>
            <w:tcW w:w="960" w:type="dxa"/>
            <w:tcBorders>
              <w:top w:val="nil"/>
              <w:left w:val="nil"/>
              <w:bottom w:val="nil"/>
              <w:right w:val="nil"/>
            </w:tcBorders>
            <w:shd w:val="clear" w:color="auto" w:fill="auto"/>
            <w:noWrap/>
            <w:vAlign w:val="bottom"/>
            <w:hideMark/>
          </w:tcPr>
          <w:p w14:paraId="29C1D2B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1.0048</w:t>
            </w:r>
          </w:p>
        </w:tc>
        <w:tc>
          <w:tcPr>
            <w:tcW w:w="960" w:type="dxa"/>
            <w:tcBorders>
              <w:top w:val="nil"/>
              <w:left w:val="single" w:sz="4" w:space="0" w:color="auto"/>
              <w:bottom w:val="nil"/>
              <w:right w:val="single" w:sz="4" w:space="0" w:color="auto"/>
            </w:tcBorders>
            <w:shd w:val="clear" w:color="auto" w:fill="auto"/>
            <w:noWrap/>
            <w:vAlign w:val="bottom"/>
            <w:hideMark/>
          </w:tcPr>
          <w:p w14:paraId="0BBC6AD4"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1.0022</w:t>
            </w:r>
          </w:p>
        </w:tc>
        <w:tc>
          <w:tcPr>
            <w:tcW w:w="960" w:type="dxa"/>
            <w:tcBorders>
              <w:top w:val="nil"/>
              <w:left w:val="nil"/>
              <w:bottom w:val="nil"/>
              <w:right w:val="single" w:sz="4" w:space="0" w:color="auto"/>
            </w:tcBorders>
            <w:shd w:val="clear" w:color="auto" w:fill="auto"/>
            <w:noWrap/>
            <w:vAlign w:val="bottom"/>
            <w:hideMark/>
          </w:tcPr>
          <w:p w14:paraId="565B060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1.0070</w:t>
            </w:r>
          </w:p>
        </w:tc>
        <w:tc>
          <w:tcPr>
            <w:tcW w:w="964" w:type="dxa"/>
            <w:tcBorders>
              <w:top w:val="nil"/>
              <w:left w:val="nil"/>
              <w:bottom w:val="nil"/>
              <w:right w:val="nil"/>
            </w:tcBorders>
            <w:shd w:val="clear" w:color="auto" w:fill="auto"/>
            <w:noWrap/>
            <w:vAlign w:val="bottom"/>
            <w:hideMark/>
          </w:tcPr>
          <w:p w14:paraId="7D03318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0.9559</w:t>
            </w:r>
          </w:p>
        </w:tc>
        <w:tc>
          <w:tcPr>
            <w:tcW w:w="960" w:type="dxa"/>
            <w:tcBorders>
              <w:top w:val="nil"/>
              <w:left w:val="single" w:sz="4" w:space="0" w:color="auto"/>
              <w:bottom w:val="nil"/>
              <w:right w:val="single" w:sz="4" w:space="0" w:color="auto"/>
            </w:tcBorders>
            <w:shd w:val="clear" w:color="auto" w:fill="auto"/>
            <w:noWrap/>
            <w:vAlign w:val="bottom"/>
            <w:hideMark/>
          </w:tcPr>
          <w:p w14:paraId="7E8FF2F6"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0.9998</w:t>
            </w:r>
          </w:p>
        </w:tc>
        <w:tc>
          <w:tcPr>
            <w:tcW w:w="960" w:type="dxa"/>
            <w:tcBorders>
              <w:top w:val="nil"/>
              <w:left w:val="nil"/>
              <w:bottom w:val="nil"/>
              <w:right w:val="single" w:sz="4" w:space="0" w:color="auto"/>
            </w:tcBorders>
            <w:shd w:val="clear" w:color="auto" w:fill="auto"/>
            <w:noWrap/>
            <w:vAlign w:val="bottom"/>
            <w:hideMark/>
          </w:tcPr>
          <w:p w14:paraId="7368CF5C"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0.9557</w:t>
            </w:r>
          </w:p>
        </w:tc>
      </w:tr>
      <w:tr w:rsidR="00A30676" w:rsidRPr="00430BCF" w14:paraId="177D5753" w14:textId="77777777" w:rsidTr="003D0E85">
        <w:trPr>
          <w:trHeight w:val="288"/>
        </w:trPr>
        <w:tc>
          <w:tcPr>
            <w:tcW w:w="960" w:type="dxa"/>
            <w:tcBorders>
              <w:top w:val="nil"/>
              <w:left w:val="single" w:sz="4" w:space="0" w:color="auto"/>
              <w:bottom w:val="nil"/>
              <w:right w:val="single" w:sz="4" w:space="0" w:color="auto"/>
            </w:tcBorders>
            <w:shd w:val="clear" w:color="auto" w:fill="auto"/>
            <w:noWrap/>
            <w:vAlign w:val="bottom"/>
            <w:hideMark/>
          </w:tcPr>
          <w:p w14:paraId="5AFBED14"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2014</w:t>
            </w:r>
          </w:p>
        </w:tc>
        <w:tc>
          <w:tcPr>
            <w:tcW w:w="1020" w:type="dxa"/>
            <w:tcBorders>
              <w:top w:val="nil"/>
              <w:left w:val="nil"/>
              <w:bottom w:val="nil"/>
              <w:right w:val="nil"/>
            </w:tcBorders>
            <w:shd w:val="clear" w:color="auto" w:fill="auto"/>
            <w:noWrap/>
            <w:vAlign w:val="bottom"/>
            <w:hideMark/>
          </w:tcPr>
          <w:p w14:paraId="0DC3104E"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0.9995</w:t>
            </w:r>
          </w:p>
        </w:tc>
        <w:tc>
          <w:tcPr>
            <w:tcW w:w="900" w:type="dxa"/>
            <w:tcBorders>
              <w:top w:val="nil"/>
              <w:left w:val="single" w:sz="4" w:space="0" w:color="auto"/>
              <w:bottom w:val="nil"/>
              <w:right w:val="single" w:sz="4" w:space="0" w:color="auto"/>
            </w:tcBorders>
            <w:shd w:val="clear" w:color="auto" w:fill="auto"/>
            <w:noWrap/>
            <w:vAlign w:val="bottom"/>
            <w:hideMark/>
          </w:tcPr>
          <w:p w14:paraId="0F55335E"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1.0044</w:t>
            </w:r>
          </w:p>
        </w:tc>
        <w:tc>
          <w:tcPr>
            <w:tcW w:w="960" w:type="dxa"/>
            <w:tcBorders>
              <w:top w:val="nil"/>
              <w:left w:val="nil"/>
              <w:bottom w:val="nil"/>
              <w:right w:val="single" w:sz="4" w:space="0" w:color="auto"/>
            </w:tcBorders>
            <w:shd w:val="clear" w:color="auto" w:fill="auto"/>
            <w:noWrap/>
            <w:vAlign w:val="bottom"/>
            <w:hideMark/>
          </w:tcPr>
          <w:p w14:paraId="52A04502"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1.0038</w:t>
            </w:r>
          </w:p>
        </w:tc>
        <w:tc>
          <w:tcPr>
            <w:tcW w:w="960" w:type="dxa"/>
            <w:tcBorders>
              <w:top w:val="nil"/>
              <w:left w:val="nil"/>
              <w:bottom w:val="nil"/>
              <w:right w:val="nil"/>
            </w:tcBorders>
            <w:shd w:val="clear" w:color="auto" w:fill="auto"/>
            <w:noWrap/>
            <w:vAlign w:val="bottom"/>
            <w:hideMark/>
          </w:tcPr>
          <w:p w14:paraId="69844FD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0.9947</w:t>
            </w:r>
          </w:p>
        </w:tc>
        <w:tc>
          <w:tcPr>
            <w:tcW w:w="960" w:type="dxa"/>
            <w:tcBorders>
              <w:top w:val="nil"/>
              <w:left w:val="single" w:sz="4" w:space="0" w:color="auto"/>
              <w:bottom w:val="nil"/>
              <w:right w:val="single" w:sz="4" w:space="0" w:color="auto"/>
            </w:tcBorders>
            <w:shd w:val="clear" w:color="auto" w:fill="auto"/>
            <w:noWrap/>
            <w:vAlign w:val="bottom"/>
            <w:hideMark/>
          </w:tcPr>
          <w:p w14:paraId="13F7DD73"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1.0021</w:t>
            </w:r>
          </w:p>
        </w:tc>
        <w:tc>
          <w:tcPr>
            <w:tcW w:w="960" w:type="dxa"/>
            <w:tcBorders>
              <w:top w:val="nil"/>
              <w:left w:val="nil"/>
              <w:bottom w:val="nil"/>
              <w:right w:val="single" w:sz="4" w:space="0" w:color="auto"/>
            </w:tcBorders>
            <w:shd w:val="clear" w:color="auto" w:fill="auto"/>
            <w:noWrap/>
            <w:vAlign w:val="bottom"/>
            <w:hideMark/>
          </w:tcPr>
          <w:p w14:paraId="26F73F4C"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0.9968</w:t>
            </w:r>
          </w:p>
        </w:tc>
        <w:tc>
          <w:tcPr>
            <w:tcW w:w="964" w:type="dxa"/>
            <w:tcBorders>
              <w:top w:val="nil"/>
              <w:left w:val="nil"/>
              <w:bottom w:val="nil"/>
              <w:right w:val="nil"/>
            </w:tcBorders>
            <w:shd w:val="clear" w:color="auto" w:fill="auto"/>
            <w:noWrap/>
            <w:vAlign w:val="bottom"/>
            <w:hideMark/>
          </w:tcPr>
          <w:p w14:paraId="76441B2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0.9785</w:t>
            </w:r>
          </w:p>
        </w:tc>
        <w:tc>
          <w:tcPr>
            <w:tcW w:w="960" w:type="dxa"/>
            <w:tcBorders>
              <w:top w:val="nil"/>
              <w:left w:val="single" w:sz="4" w:space="0" w:color="auto"/>
              <w:bottom w:val="nil"/>
              <w:right w:val="single" w:sz="4" w:space="0" w:color="auto"/>
            </w:tcBorders>
            <w:shd w:val="clear" w:color="auto" w:fill="auto"/>
            <w:noWrap/>
            <w:vAlign w:val="bottom"/>
            <w:hideMark/>
          </w:tcPr>
          <w:p w14:paraId="2DD196A2"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0.9994</w:t>
            </w:r>
          </w:p>
        </w:tc>
        <w:tc>
          <w:tcPr>
            <w:tcW w:w="960" w:type="dxa"/>
            <w:tcBorders>
              <w:top w:val="nil"/>
              <w:left w:val="nil"/>
              <w:bottom w:val="nil"/>
              <w:right w:val="single" w:sz="4" w:space="0" w:color="auto"/>
            </w:tcBorders>
            <w:shd w:val="clear" w:color="auto" w:fill="auto"/>
            <w:noWrap/>
            <w:vAlign w:val="bottom"/>
            <w:hideMark/>
          </w:tcPr>
          <w:p w14:paraId="5C8C9001"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0.9779</w:t>
            </w:r>
          </w:p>
        </w:tc>
      </w:tr>
      <w:tr w:rsidR="00A30676" w:rsidRPr="00430BCF" w14:paraId="45127451" w14:textId="77777777" w:rsidTr="003D0E8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8BC04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2015</w:t>
            </w:r>
          </w:p>
        </w:tc>
        <w:tc>
          <w:tcPr>
            <w:tcW w:w="1020" w:type="dxa"/>
            <w:tcBorders>
              <w:top w:val="nil"/>
              <w:left w:val="nil"/>
              <w:bottom w:val="single" w:sz="4" w:space="0" w:color="auto"/>
              <w:right w:val="nil"/>
            </w:tcBorders>
            <w:shd w:val="clear" w:color="auto" w:fill="auto"/>
            <w:noWrap/>
            <w:vAlign w:val="bottom"/>
            <w:hideMark/>
          </w:tcPr>
          <w:p w14:paraId="125C3551"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0.9919</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6762FE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1.0040</w:t>
            </w:r>
          </w:p>
        </w:tc>
        <w:tc>
          <w:tcPr>
            <w:tcW w:w="960" w:type="dxa"/>
            <w:tcBorders>
              <w:top w:val="nil"/>
              <w:left w:val="nil"/>
              <w:bottom w:val="single" w:sz="4" w:space="0" w:color="auto"/>
              <w:right w:val="single" w:sz="4" w:space="0" w:color="auto"/>
            </w:tcBorders>
            <w:shd w:val="clear" w:color="auto" w:fill="auto"/>
            <w:noWrap/>
            <w:vAlign w:val="bottom"/>
            <w:hideMark/>
          </w:tcPr>
          <w:p w14:paraId="2F17A135"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0.9958</w:t>
            </w:r>
          </w:p>
        </w:tc>
        <w:tc>
          <w:tcPr>
            <w:tcW w:w="960" w:type="dxa"/>
            <w:tcBorders>
              <w:top w:val="nil"/>
              <w:left w:val="nil"/>
              <w:bottom w:val="single" w:sz="4" w:space="0" w:color="auto"/>
              <w:right w:val="nil"/>
            </w:tcBorders>
            <w:shd w:val="clear" w:color="auto" w:fill="auto"/>
            <w:noWrap/>
            <w:vAlign w:val="bottom"/>
            <w:hideMark/>
          </w:tcPr>
          <w:p w14:paraId="38903968"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0.9416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F72BBE"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1.0016</w:t>
            </w:r>
          </w:p>
        </w:tc>
        <w:tc>
          <w:tcPr>
            <w:tcW w:w="960" w:type="dxa"/>
            <w:tcBorders>
              <w:top w:val="nil"/>
              <w:left w:val="nil"/>
              <w:bottom w:val="single" w:sz="4" w:space="0" w:color="auto"/>
              <w:right w:val="single" w:sz="4" w:space="0" w:color="auto"/>
            </w:tcBorders>
            <w:shd w:val="clear" w:color="auto" w:fill="auto"/>
            <w:noWrap/>
            <w:vAlign w:val="bottom"/>
            <w:hideMark/>
          </w:tcPr>
          <w:p w14:paraId="1855CD26"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0.9431</w:t>
            </w:r>
          </w:p>
        </w:tc>
        <w:tc>
          <w:tcPr>
            <w:tcW w:w="964" w:type="dxa"/>
            <w:tcBorders>
              <w:top w:val="nil"/>
              <w:left w:val="nil"/>
              <w:bottom w:val="single" w:sz="4" w:space="0" w:color="auto"/>
              <w:right w:val="nil"/>
            </w:tcBorders>
            <w:shd w:val="clear" w:color="auto" w:fill="auto"/>
            <w:noWrap/>
            <w:vAlign w:val="bottom"/>
            <w:hideMark/>
          </w:tcPr>
          <w:p w14:paraId="2EABFC54"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FBEDF9"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0.9998</w:t>
            </w:r>
          </w:p>
        </w:tc>
        <w:tc>
          <w:tcPr>
            <w:tcW w:w="960" w:type="dxa"/>
            <w:tcBorders>
              <w:top w:val="nil"/>
              <w:left w:val="nil"/>
              <w:bottom w:val="single" w:sz="4" w:space="0" w:color="auto"/>
              <w:right w:val="single" w:sz="4" w:space="0" w:color="auto"/>
            </w:tcBorders>
            <w:shd w:val="clear" w:color="auto" w:fill="auto"/>
            <w:noWrap/>
            <w:vAlign w:val="bottom"/>
            <w:hideMark/>
          </w:tcPr>
          <w:p w14:paraId="59E5198F"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1.0007</w:t>
            </w:r>
          </w:p>
        </w:tc>
      </w:tr>
      <w:tr w:rsidR="00A30676" w:rsidRPr="00430BCF" w14:paraId="7B3400DF" w14:textId="77777777" w:rsidTr="003D0E85">
        <w:trPr>
          <w:trHeight w:val="288"/>
        </w:trPr>
        <w:tc>
          <w:tcPr>
            <w:tcW w:w="960" w:type="dxa"/>
            <w:tcBorders>
              <w:top w:val="nil"/>
              <w:left w:val="single" w:sz="4" w:space="0" w:color="auto"/>
              <w:bottom w:val="nil"/>
              <w:right w:val="nil"/>
            </w:tcBorders>
            <w:shd w:val="clear" w:color="auto" w:fill="auto"/>
            <w:noWrap/>
            <w:vAlign w:val="bottom"/>
            <w:hideMark/>
          </w:tcPr>
          <w:p w14:paraId="70051A72"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 </w:t>
            </w:r>
          </w:p>
        </w:tc>
        <w:tc>
          <w:tcPr>
            <w:tcW w:w="1020" w:type="dxa"/>
            <w:tcBorders>
              <w:top w:val="nil"/>
              <w:left w:val="single" w:sz="4" w:space="0" w:color="auto"/>
              <w:bottom w:val="nil"/>
              <w:right w:val="nil"/>
            </w:tcBorders>
            <w:shd w:val="clear" w:color="auto" w:fill="auto"/>
            <w:noWrap/>
            <w:vAlign w:val="bottom"/>
            <w:hideMark/>
          </w:tcPr>
          <w:p w14:paraId="0ED46B26"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 </w:t>
            </w:r>
          </w:p>
        </w:tc>
        <w:tc>
          <w:tcPr>
            <w:tcW w:w="900" w:type="dxa"/>
            <w:tcBorders>
              <w:top w:val="nil"/>
              <w:left w:val="single" w:sz="4" w:space="0" w:color="auto"/>
              <w:bottom w:val="nil"/>
              <w:right w:val="single" w:sz="4" w:space="0" w:color="auto"/>
            </w:tcBorders>
            <w:shd w:val="clear" w:color="auto" w:fill="auto"/>
            <w:noWrap/>
            <w:vAlign w:val="bottom"/>
            <w:hideMark/>
          </w:tcPr>
          <w:p w14:paraId="061F3B4B"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14:paraId="77325F58"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6280AE86"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 </w:t>
            </w:r>
          </w:p>
        </w:tc>
        <w:tc>
          <w:tcPr>
            <w:tcW w:w="960" w:type="dxa"/>
            <w:tcBorders>
              <w:top w:val="nil"/>
              <w:left w:val="single" w:sz="4" w:space="0" w:color="auto"/>
              <w:bottom w:val="nil"/>
              <w:right w:val="single" w:sz="4" w:space="0" w:color="auto"/>
            </w:tcBorders>
            <w:shd w:val="clear" w:color="auto" w:fill="auto"/>
            <w:noWrap/>
            <w:vAlign w:val="bottom"/>
            <w:hideMark/>
          </w:tcPr>
          <w:p w14:paraId="7DB438BF"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14:paraId="05F1F113"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 </w:t>
            </w:r>
          </w:p>
        </w:tc>
        <w:tc>
          <w:tcPr>
            <w:tcW w:w="964" w:type="dxa"/>
            <w:tcBorders>
              <w:top w:val="nil"/>
              <w:left w:val="nil"/>
              <w:bottom w:val="nil"/>
              <w:right w:val="nil"/>
            </w:tcBorders>
            <w:shd w:val="clear" w:color="auto" w:fill="auto"/>
            <w:noWrap/>
            <w:vAlign w:val="bottom"/>
            <w:hideMark/>
          </w:tcPr>
          <w:p w14:paraId="2DBA18C8"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 </w:t>
            </w:r>
          </w:p>
        </w:tc>
        <w:tc>
          <w:tcPr>
            <w:tcW w:w="960" w:type="dxa"/>
            <w:tcBorders>
              <w:top w:val="nil"/>
              <w:left w:val="single" w:sz="4" w:space="0" w:color="auto"/>
              <w:bottom w:val="nil"/>
              <w:right w:val="single" w:sz="4" w:space="0" w:color="auto"/>
            </w:tcBorders>
            <w:shd w:val="clear" w:color="auto" w:fill="auto"/>
            <w:noWrap/>
            <w:vAlign w:val="bottom"/>
            <w:hideMark/>
          </w:tcPr>
          <w:p w14:paraId="575570F2"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14:paraId="03DAC7EA"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 </w:t>
            </w:r>
          </w:p>
        </w:tc>
      </w:tr>
      <w:tr w:rsidR="00A30676" w:rsidRPr="00430BCF" w14:paraId="11FE0A16" w14:textId="77777777" w:rsidTr="003D0E85">
        <w:trPr>
          <w:trHeight w:val="288"/>
        </w:trPr>
        <w:tc>
          <w:tcPr>
            <w:tcW w:w="960" w:type="dxa"/>
            <w:tcBorders>
              <w:top w:val="nil"/>
              <w:left w:val="single" w:sz="4" w:space="0" w:color="auto"/>
              <w:bottom w:val="single" w:sz="4" w:space="0" w:color="auto"/>
              <w:right w:val="nil"/>
            </w:tcBorders>
            <w:shd w:val="clear" w:color="auto" w:fill="auto"/>
            <w:noWrap/>
            <w:vAlign w:val="bottom"/>
            <w:hideMark/>
          </w:tcPr>
          <w:p w14:paraId="151252F1" w14:textId="77777777" w:rsidR="00A30676" w:rsidRPr="00430BCF" w:rsidRDefault="00A30676" w:rsidP="003D0E85">
            <w:pPr>
              <w:spacing w:after="0" w:line="240" w:lineRule="auto"/>
              <w:rPr>
                <w:rFonts w:ascii="Calibri" w:eastAsia="Times New Roman" w:hAnsi="Calibri" w:cs="Calibri"/>
                <w:color w:val="000000"/>
                <w:lang w:eastAsia="en-GB"/>
              </w:rPr>
            </w:pPr>
            <w:r w:rsidRPr="00430BCF">
              <w:rPr>
                <w:rFonts w:ascii="Calibri" w:eastAsia="Times New Roman" w:hAnsi="Calibri" w:cs="Calibri"/>
                <w:color w:val="000000"/>
                <w:lang w:eastAsia="en-GB"/>
              </w:rPr>
              <w:t>Average</w:t>
            </w:r>
          </w:p>
        </w:tc>
        <w:tc>
          <w:tcPr>
            <w:tcW w:w="1020" w:type="dxa"/>
            <w:tcBorders>
              <w:top w:val="nil"/>
              <w:left w:val="single" w:sz="4" w:space="0" w:color="auto"/>
              <w:bottom w:val="single" w:sz="4" w:space="0" w:color="auto"/>
              <w:right w:val="nil"/>
            </w:tcBorders>
            <w:shd w:val="clear" w:color="auto" w:fill="auto"/>
            <w:noWrap/>
            <w:vAlign w:val="bottom"/>
            <w:hideMark/>
          </w:tcPr>
          <w:p w14:paraId="7B0498A0"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0.9977</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A60315A"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1.0088</w:t>
            </w:r>
          </w:p>
        </w:tc>
        <w:tc>
          <w:tcPr>
            <w:tcW w:w="960" w:type="dxa"/>
            <w:tcBorders>
              <w:top w:val="nil"/>
              <w:left w:val="nil"/>
              <w:bottom w:val="single" w:sz="4" w:space="0" w:color="auto"/>
              <w:right w:val="single" w:sz="4" w:space="0" w:color="auto"/>
            </w:tcBorders>
            <w:shd w:val="clear" w:color="auto" w:fill="auto"/>
            <w:noWrap/>
            <w:vAlign w:val="bottom"/>
            <w:hideMark/>
          </w:tcPr>
          <w:p w14:paraId="57523404"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1.0065</w:t>
            </w:r>
          </w:p>
        </w:tc>
        <w:tc>
          <w:tcPr>
            <w:tcW w:w="960" w:type="dxa"/>
            <w:tcBorders>
              <w:top w:val="nil"/>
              <w:left w:val="nil"/>
              <w:bottom w:val="single" w:sz="4" w:space="0" w:color="auto"/>
              <w:right w:val="nil"/>
            </w:tcBorders>
            <w:shd w:val="clear" w:color="auto" w:fill="auto"/>
            <w:noWrap/>
            <w:vAlign w:val="bottom"/>
            <w:hideMark/>
          </w:tcPr>
          <w:p w14:paraId="07A27412"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0.9945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4B7841"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1.0035</w:t>
            </w:r>
          </w:p>
        </w:tc>
        <w:tc>
          <w:tcPr>
            <w:tcW w:w="960" w:type="dxa"/>
            <w:tcBorders>
              <w:top w:val="nil"/>
              <w:left w:val="nil"/>
              <w:bottom w:val="single" w:sz="4" w:space="0" w:color="auto"/>
              <w:right w:val="single" w:sz="4" w:space="0" w:color="auto"/>
            </w:tcBorders>
            <w:shd w:val="clear" w:color="auto" w:fill="auto"/>
            <w:noWrap/>
            <w:vAlign w:val="bottom"/>
            <w:hideMark/>
          </w:tcPr>
          <w:p w14:paraId="30514BC7"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0.9980</w:t>
            </w:r>
          </w:p>
        </w:tc>
        <w:tc>
          <w:tcPr>
            <w:tcW w:w="964" w:type="dxa"/>
            <w:tcBorders>
              <w:top w:val="nil"/>
              <w:left w:val="nil"/>
              <w:bottom w:val="single" w:sz="4" w:space="0" w:color="auto"/>
              <w:right w:val="nil"/>
            </w:tcBorders>
            <w:shd w:val="clear" w:color="auto" w:fill="auto"/>
            <w:noWrap/>
            <w:vAlign w:val="bottom"/>
            <w:hideMark/>
          </w:tcPr>
          <w:p w14:paraId="39D4D601"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1.0177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22AD7F"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1.0103</w:t>
            </w:r>
          </w:p>
        </w:tc>
        <w:tc>
          <w:tcPr>
            <w:tcW w:w="960" w:type="dxa"/>
            <w:tcBorders>
              <w:top w:val="nil"/>
              <w:left w:val="nil"/>
              <w:bottom w:val="single" w:sz="4" w:space="0" w:color="auto"/>
              <w:right w:val="single" w:sz="4" w:space="0" w:color="auto"/>
            </w:tcBorders>
            <w:shd w:val="clear" w:color="auto" w:fill="auto"/>
            <w:noWrap/>
            <w:vAlign w:val="bottom"/>
            <w:hideMark/>
          </w:tcPr>
          <w:p w14:paraId="0E669F68" w14:textId="77777777" w:rsidR="00A30676" w:rsidRPr="00430BCF" w:rsidRDefault="00A30676" w:rsidP="003D0E85">
            <w:pPr>
              <w:spacing w:after="0" w:line="240" w:lineRule="auto"/>
              <w:jc w:val="right"/>
              <w:rPr>
                <w:rFonts w:ascii="Calibri" w:eastAsia="Times New Roman" w:hAnsi="Calibri" w:cs="Calibri"/>
                <w:color w:val="000000"/>
                <w:lang w:eastAsia="en-GB"/>
              </w:rPr>
            </w:pPr>
            <w:r w:rsidRPr="00430BCF">
              <w:rPr>
                <w:rFonts w:ascii="Calibri" w:eastAsia="Times New Roman" w:hAnsi="Calibri" w:cs="Calibri"/>
                <w:color w:val="000000"/>
                <w:lang w:eastAsia="en-GB"/>
              </w:rPr>
              <w:t>1.0282</w:t>
            </w:r>
          </w:p>
        </w:tc>
      </w:tr>
    </w:tbl>
    <w:p w14:paraId="59D5B566" w14:textId="77777777" w:rsidR="00A30676" w:rsidRDefault="00A30676" w:rsidP="00A30676"/>
    <w:p w14:paraId="2BD5377E" w14:textId="792BDEBA" w:rsidR="00875EDD" w:rsidRDefault="00A30676" w:rsidP="00A30676">
      <w:r>
        <w:t xml:space="preserve">What table </w:t>
      </w:r>
      <w:r w:rsidR="003D0E85">
        <w:t>5</w:t>
      </w:r>
      <w:r>
        <w:t xml:space="preserve"> shows is that most gains came from the Intercity sector, and furthermore, most of this was through efficiency improvements, which tended to fluctuate throughout the period.  Strong gains were made in the early part of the period, whereas beyond 2009 efficiency gains have been more modest, with efficiency actually falling by a net 3%, and this a ‘pure’ efficiency fall, i.e. one not driven by technical change.  </w:t>
      </w:r>
      <w:r w:rsidR="00875EDD">
        <w:t>Similarly, TC in the sector shows strong growth to 2009, but since then average values are effectively unchanged.</w:t>
      </w:r>
      <w:r w:rsidR="00F77933">
        <w:t xml:space="preserve">  These results are surprising, as the implication is that any inefficiencies inherited from the state operator were most prevalent in the Intercity sector, which of the three was by far the most commercially orientated, operating as it did without subsidy and </w:t>
      </w:r>
      <w:r w:rsidR="00166D9C">
        <w:t xml:space="preserve">with </w:t>
      </w:r>
      <w:r w:rsidR="00F77933">
        <w:t xml:space="preserve">market based pricing.  </w:t>
      </w:r>
    </w:p>
    <w:p w14:paraId="58DCFFAB" w14:textId="77777777" w:rsidR="00384C73" w:rsidRDefault="00384C73" w:rsidP="003D2C33">
      <w:pPr>
        <w:jc w:val="both"/>
      </w:pPr>
    </w:p>
    <w:p w14:paraId="31492E0C" w14:textId="2070E52C" w:rsidR="00384C73" w:rsidRDefault="00840A3E" w:rsidP="005B1C7A">
      <w:pPr>
        <w:pStyle w:val="Heading2"/>
      </w:pPr>
      <w:r>
        <w:t xml:space="preserve">7. </w:t>
      </w:r>
      <w:r w:rsidR="00384C73">
        <w:t>Reflections on the Use of Different Approaches</w:t>
      </w:r>
      <w:r w:rsidR="00FF770D">
        <w:t xml:space="preserve"> to TFP Assessment</w:t>
      </w:r>
    </w:p>
    <w:p w14:paraId="238B8B00" w14:textId="4E47FD97" w:rsidR="0005077B" w:rsidRDefault="0005077B" w:rsidP="0005077B">
      <w:pPr>
        <w:jc w:val="both"/>
      </w:pPr>
      <w:r>
        <w:t xml:space="preserve">The DEA based TFP results were found to produce higher estimates than those based on </w:t>
      </w:r>
      <w:r w:rsidR="005814D7">
        <w:t>econometric</w:t>
      </w:r>
      <w:r>
        <w:t xml:space="preserve"> methods.  Whilst on an average annual basis differences were relatively small, these were considerably </w:t>
      </w:r>
      <w:r w:rsidR="00AE2AA7">
        <w:t>amplified</w:t>
      </w:r>
      <w:r>
        <w:t xml:space="preserve"> when viewed from a cumulative perspective.  To some extent this is a consequence of the relatively low values estimated, hence in relative terms when these are aggregated over </w:t>
      </w:r>
      <w:r w:rsidR="00357672">
        <w:t>time</w:t>
      </w:r>
      <w:r>
        <w:t xml:space="preserve"> the difference then becomes considerable</w:t>
      </w:r>
      <w:r w:rsidR="00357672">
        <w:t xml:space="preserve">.  From a </w:t>
      </w:r>
      <w:r w:rsidR="00F3508E">
        <w:t xml:space="preserve">general perspective </w:t>
      </w:r>
      <w:r w:rsidR="00357672">
        <w:t xml:space="preserve">therefore, </w:t>
      </w:r>
      <w:r>
        <w:t>this may be less of an issue than presented in this case.  Nevertheless, whilst the basic DEA is known to produce higher efficiency estimates (</w:t>
      </w:r>
      <w:r w:rsidR="00FC1818">
        <w:t>Löthgren, 1998)</w:t>
      </w:r>
      <w:r>
        <w:t xml:space="preserve">, within an MPI assessment this should even out over the period being examined.  What it may suggest therefore is that the DEA approach is attributing an element of data ‘noise’ to productivity gain, and furthermore this may be exaggerated by changes in the weightings attached to the inputs from one year to the next.  Bootstrapping the DEA </w:t>
      </w:r>
      <w:r w:rsidR="00F3508E">
        <w:t xml:space="preserve">estimates </w:t>
      </w:r>
      <w:r>
        <w:t xml:space="preserve">should overcome most of these issues, but as yet this has not been attempted in the MPI context due to computational difficulties.  </w:t>
      </w:r>
    </w:p>
    <w:p w14:paraId="41F46AA3" w14:textId="0DE8E64E" w:rsidR="00384C73" w:rsidRDefault="00D21F81" w:rsidP="003D2C33">
      <w:pPr>
        <w:jc w:val="both"/>
      </w:pPr>
      <w:r>
        <w:t xml:space="preserve">A </w:t>
      </w:r>
      <w:r w:rsidR="00110FB6">
        <w:t>second</w:t>
      </w:r>
      <w:r w:rsidR="0055115A">
        <w:t xml:space="preserve"> issue was that the </w:t>
      </w:r>
      <w:r w:rsidR="00DB2634">
        <w:t>S</w:t>
      </w:r>
      <w:r w:rsidR="00166D9C">
        <w:t>FA</w:t>
      </w:r>
      <w:r w:rsidR="00DB2634">
        <w:t xml:space="preserve"> and COLS</w:t>
      </w:r>
      <w:r w:rsidR="0055115A">
        <w:t xml:space="preserve"> approach</w:t>
      </w:r>
      <w:r w:rsidR="00DB2634">
        <w:t>es</w:t>
      </w:r>
      <w:r w:rsidR="0055115A">
        <w:t xml:space="preserve"> </w:t>
      </w:r>
      <w:r w:rsidR="00110FB6">
        <w:t xml:space="preserve">were found to </w:t>
      </w:r>
      <w:r w:rsidR="0055115A">
        <w:t xml:space="preserve">place far more emphasis on </w:t>
      </w:r>
      <w:r>
        <w:t xml:space="preserve">TFP gain through </w:t>
      </w:r>
      <w:r w:rsidR="0055115A">
        <w:t xml:space="preserve">technical change improvements.  Why </w:t>
      </w:r>
      <w:r w:rsidR="00AD7DF7">
        <w:t>this</w:t>
      </w:r>
      <w:r w:rsidR="0055115A">
        <w:t xml:space="preserve"> happens is that a</w:t>
      </w:r>
      <w:r w:rsidR="00FF733D">
        <w:t>n econometric</w:t>
      </w:r>
      <w:r w:rsidR="0055115A">
        <w:t xml:space="preserve"> efficiency assessment </w:t>
      </w:r>
      <w:r w:rsidR="005B1C7A">
        <w:t xml:space="preserve">will include </w:t>
      </w:r>
      <w:r w:rsidR="0055115A">
        <w:t xml:space="preserve">all of the inputs in </w:t>
      </w:r>
      <w:r w:rsidR="005B1C7A">
        <w:t xml:space="preserve">the efficiency assessment in </w:t>
      </w:r>
      <w:r w:rsidR="0055115A">
        <w:t xml:space="preserve">each time period, whilst DEA varies the weight placed on each input, and ultimately this can be zero.  As a consequence, where ‘real’ technical improvements are introduced, the DEA based MPI is likely to considerably underestimate the short term effect this has on TC, but </w:t>
      </w:r>
      <w:r w:rsidR="005B1C7A">
        <w:t xml:space="preserve">rather </w:t>
      </w:r>
      <w:r w:rsidR="0055115A">
        <w:t xml:space="preserve">will spread this impact over a longer time period.  </w:t>
      </w:r>
      <w:r w:rsidR="0033517D">
        <w:t>Furthermore, t</w:t>
      </w:r>
      <w:r w:rsidR="00FF733D">
        <w:t>he econometric</w:t>
      </w:r>
      <w:r w:rsidR="005B1C7A">
        <w:t xml:space="preserve"> approaches modelled technical change over the whole time period, whilst DEA only considered TC from purely </w:t>
      </w:r>
      <w:r w:rsidR="006A5580">
        <w:t xml:space="preserve">a </w:t>
      </w:r>
      <w:r w:rsidR="005B1C7A">
        <w:t xml:space="preserve">year-on-year perspective, with no connection from one time horizon to the next.  In terms of the reality of the situation, over an extended time period all TFP improvement will </w:t>
      </w:r>
      <w:r w:rsidR="006A5580">
        <w:t>be as a consequence of</w:t>
      </w:r>
      <w:r w:rsidR="005B1C7A">
        <w:t xml:space="preserve"> technical change, with efficiency change representing short run dev</w:t>
      </w:r>
      <w:r w:rsidR="006A5580">
        <w:t>i</w:t>
      </w:r>
      <w:r w:rsidR="005B1C7A">
        <w:t xml:space="preserve">ations from that long run trend.  The </w:t>
      </w:r>
      <w:r w:rsidR="00FF733D">
        <w:t>econometric</w:t>
      </w:r>
      <w:r w:rsidR="005B1C7A">
        <w:t xml:space="preserve"> approaches, with the longer time horizon, far better reflected that reality</w:t>
      </w:r>
      <w:r w:rsidR="007A4519">
        <w:t xml:space="preserve">, hence </w:t>
      </w:r>
      <w:r w:rsidR="008749C5">
        <w:t>from</w:t>
      </w:r>
      <w:r w:rsidR="00FF770D">
        <w:t xml:space="preserve"> that perspective </w:t>
      </w:r>
      <w:r w:rsidR="007A4519">
        <w:t xml:space="preserve">may be considered to be </w:t>
      </w:r>
      <w:r w:rsidR="005B1C7A">
        <w:t xml:space="preserve">higher in ecological validity. </w:t>
      </w:r>
    </w:p>
    <w:p w14:paraId="58DB79D9" w14:textId="60F3F969" w:rsidR="00F6350C" w:rsidRDefault="00110FB6" w:rsidP="003D2C33">
      <w:pPr>
        <w:jc w:val="both"/>
      </w:pPr>
      <w:r>
        <w:t xml:space="preserve">With regard to the </w:t>
      </w:r>
      <w:r w:rsidR="00F6350C">
        <w:t xml:space="preserve">stochastic function, </w:t>
      </w:r>
      <w:r>
        <w:t xml:space="preserve">it was found that when efficiency change was expressed as annual means, the method </w:t>
      </w:r>
      <w:r w:rsidR="00F6350C">
        <w:t xml:space="preserve">had effectively modelled </w:t>
      </w:r>
      <w:r>
        <w:t>these</w:t>
      </w:r>
      <w:r w:rsidR="00F6350C">
        <w:t xml:space="preserve"> change</w:t>
      </w:r>
      <w:r>
        <w:t>s</w:t>
      </w:r>
      <w:r w:rsidR="00F6350C">
        <w:t xml:space="preserve"> over the long run, hence very little variation was found in the</w:t>
      </w:r>
      <w:r>
        <w:t>se values</w:t>
      </w:r>
      <w:r w:rsidR="00F6350C">
        <w:t xml:space="preserve">.  </w:t>
      </w:r>
      <w:r>
        <w:t xml:space="preserve">As such, </w:t>
      </w:r>
      <w:r w:rsidR="00F6350C">
        <w:t>this counter</w:t>
      </w:r>
      <w:r>
        <w:t>ed</w:t>
      </w:r>
      <w:r w:rsidR="00F6350C">
        <w:t xml:space="preserve"> the very issue that was being examined.  </w:t>
      </w:r>
      <w:r w:rsidR="00F965AB">
        <w:t>Both in this case and the cited Coelli et al (199</w:t>
      </w:r>
      <w:r w:rsidR="00FC1818">
        <w:t>8</w:t>
      </w:r>
      <w:r w:rsidR="00F965AB">
        <w:t>) example, efficiency change was found to be relative low</w:t>
      </w:r>
      <w:r w:rsidR="008E4081">
        <w:t>, with an overall sample average in both cases of around 1% per annum.  R</w:t>
      </w:r>
      <w:r w:rsidR="00F6350C">
        <w:t xml:space="preserve">esearch elsewhere (Julien </w:t>
      </w:r>
      <w:r w:rsidR="008E4081">
        <w:t xml:space="preserve">et al </w:t>
      </w:r>
      <w:r w:rsidR="00F6350C">
        <w:t>2017)</w:t>
      </w:r>
      <w:r w:rsidR="008E4081">
        <w:t xml:space="preserve"> indicates that where efficiency change</w:t>
      </w:r>
      <w:r w:rsidR="00FF733D">
        <w:t>s are</w:t>
      </w:r>
      <w:r w:rsidR="008E4081">
        <w:t xml:space="preserve"> found to be higher, then this modelling aspect over the period is far less </w:t>
      </w:r>
      <w:r w:rsidR="003776C8">
        <w:t>pronounced</w:t>
      </w:r>
      <w:r w:rsidR="008E4081">
        <w:t xml:space="preserve"> and the method does identify short run efficiency change.</w:t>
      </w:r>
      <w:r w:rsidR="00F6350C">
        <w:t xml:space="preserve">  Cert</w:t>
      </w:r>
      <w:r w:rsidR="008E4081">
        <w:t>a</w:t>
      </w:r>
      <w:r w:rsidR="00F6350C">
        <w:t xml:space="preserve">inly in this case, the degree of consistency found between the COLS and the Stochastic estimations was very high, which suggests that the data set exhibited very little statistical noise, and this may </w:t>
      </w:r>
      <w:r w:rsidR="008E4081">
        <w:t xml:space="preserve">also </w:t>
      </w:r>
      <w:r w:rsidR="00F6350C">
        <w:t xml:space="preserve">be why efficiencies differences were </w:t>
      </w:r>
      <w:r>
        <w:t xml:space="preserve">eradicated by the </w:t>
      </w:r>
      <w:r w:rsidR="00F6350C">
        <w:t>modell</w:t>
      </w:r>
      <w:r>
        <w:t>ing procedure</w:t>
      </w:r>
      <w:r w:rsidR="00F6350C">
        <w:t xml:space="preserve">. </w:t>
      </w:r>
    </w:p>
    <w:p w14:paraId="1AB2B45D" w14:textId="3AD86618" w:rsidR="003D6DB2" w:rsidRDefault="00FF770D" w:rsidP="003D2C33">
      <w:pPr>
        <w:jc w:val="both"/>
      </w:pPr>
      <w:r>
        <w:t xml:space="preserve">One final observation is that </w:t>
      </w:r>
      <w:r w:rsidR="001907D2">
        <w:t xml:space="preserve">some of the values associated with </w:t>
      </w:r>
      <w:r w:rsidR="00FF733D">
        <w:t xml:space="preserve">efficiency and </w:t>
      </w:r>
      <w:r w:rsidR="001907D2">
        <w:t xml:space="preserve">technical change under the DEA method were found to be </w:t>
      </w:r>
      <w:r w:rsidR="00FF733D">
        <w:t>unrealistically high</w:t>
      </w:r>
      <w:r>
        <w:t>.  For example, 2006 produced an average EC gain of 7%, whilst in the same year TC fell on average by over 8%.  Examination of these two years more closely suggests that what is actually happening is what can best be described as input slack exposure, where a small adverse decline in TC</w:t>
      </w:r>
      <w:r w:rsidR="001907D2">
        <w:t xml:space="preserve"> </w:t>
      </w:r>
      <w:r w:rsidR="001D2D90">
        <w:t>produces a large improvement in efficiency, but the reason is because the firm’s efficiency is now being assessed along an input slack</w:t>
      </w:r>
      <w:r w:rsidR="00130464">
        <w:t xml:space="preserve"> rather than the efficiency frontier</w:t>
      </w:r>
      <w:r w:rsidR="001D2D90">
        <w:t xml:space="preserve">.  This increase in the input slack is then incorrectly attributed to TC decline.  There is also evidence that in 2009 the opposite </w:t>
      </w:r>
      <w:r w:rsidR="00110FB6">
        <w:t>occurred</w:t>
      </w:r>
      <w:r w:rsidR="001D2D90">
        <w:t xml:space="preserve">, where the large gain in TC is in actual fact as a result of input slack capture and not real technical progress.  Again, bootstrapping the DEA estimates should overcome or certainly substantially reduce this effect.  </w:t>
      </w:r>
      <w:r w:rsidR="0005077B">
        <w:t>Nevertheless, this would still not overcome the short time horizon perspective of the DEA based approach, which may be consistent with efficiency as a short run concept, but contradictory to productivity and technical change as long run concepts.</w:t>
      </w:r>
    </w:p>
    <w:p w14:paraId="4F98036A" w14:textId="77777777" w:rsidR="00725612" w:rsidRDefault="00725612" w:rsidP="003D2C33">
      <w:pPr>
        <w:jc w:val="both"/>
      </w:pPr>
    </w:p>
    <w:p w14:paraId="15C7DF7D" w14:textId="77777777" w:rsidR="00725612" w:rsidRDefault="00725612" w:rsidP="003D2C33">
      <w:pPr>
        <w:jc w:val="both"/>
      </w:pPr>
    </w:p>
    <w:p w14:paraId="2FD57A0E" w14:textId="77777777" w:rsidR="00D7029E" w:rsidRDefault="00D7029E" w:rsidP="003D2C33">
      <w:pPr>
        <w:jc w:val="both"/>
      </w:pPr>
    </w:p>
    <w:p w14:paraId="2BB8350B" w14:textId="26147B90" w:rsidR="00D7029E" w:rsidRDefault="00840A3E" w:rsidP="001722EF">
      <w:pPr>
        <w:pStyle w:val="Heading2"/>
      </w:pPr>
      <w:r>
        <w:t xml:space="preserve">8. </w:t>
      </w:r>
      <w:r w:rsidR="00D7029E">
        <w:t>Conclusions</w:t>
      </w:r>
      <w:r w:rsidR="00DB47E4">
        <w:t xml:space="preserve"> and Closing Discussion</w:t>
      </w:r>
      <w:r w:rsidR="006B641F">
        <w:t xml:space="preserve"> </w:t>
      </w:r>
    </w:p>
    <w:p w14:paraId="1AFCA21F" w14:textId="3A937232" w:rsidR="009D369D" w:rsidRDefault="009D369D" w:rsidP="009D369D">
      <w:pPr>
        <w:jc w:val="both"/>
      </w:pPr>
      <w:r>
        <w:t xml:space="preserve">Early studies on the privatised British passenger rail productivity indicate strong gains, whilst studies carried out after the Hatfield accident show these to </w:t>
      </w:r>
      <w:r w:rsidR="00A72203">
        <w:t xml:space="preserve">have </w:t>
      </w:r>
      <w:r>
        <w:t>be</w:t>
      </w:r>
      <w:r w:rsidR="00A72203">
        <w:t>en</w:t>
      </w:r>
      <w:r>
        <w:t xml:space="preserve"> entirely eradicated by the events that followed, and that post Hatfield productivity continued to decline.  With the perspective of a longer time horizon, the results produced in this research indicate </w:t>
      </w:r>
      <w:r w:rsidR="003776C8">
        <w:t>an annual average productivity gain of around 1% to 1½%</w:t>
      </w:r>
      <w:r w:rsidR="00D54878">
        <w:t xml:space="preserve"> since privatisation of the industry.  Most of this was as a result of gains made during </w:t>
      </w:r>
      <w:r w:rsidR="003776C8">
        <w:t xml:space="preserve">the first half of the period, </w:t>
      </w:r>
      <w:r w:rsidR="00D54878">
        <w:t>with</w:t>
      </w:r>
      <w:r w:rsidR="003776C8">
        <w:t xml:space="preserve"> unitary productivity in the second half.  </w:t>
      </w:r>
      <w:r>
        <w:t xml:space="preserve">Virtually all </w:t>
      </w:r>
      <w:r w:rsidR="003776C8">
        <w:t>of these gains</w:t>
      </w:r>
      <w:r>
        <w:t xml:space="preserve"> ha</w:t>
      </w:r>
      <w:r w:rsidR="003776C8">
        <w:t>ve</w:t>
      </w:r>
      <w:r>
        <w:t xml:space="preserve"> come as a result of technical change.  </w:t>
      </w:r>
    </w:p>
    <w:p w14:paraId="68E43AFA" w14:textId="37EF95EB" w:rsidR="009D369D" w:rsidRDefault="009D369D" w:rsidP="009D369D">
      <w:pPr>
        <w:jc w:val="both"/>
      </w:pPr>
      <w:r>
        <w:t xml:space="preserve">Nevertheless, the productivity results </w:t>
      </w:r>
      <w:r w:rsidR="003776C8">
        <w:t xml:space="preserve">found </w:t>
      </w:r>
      <w:r>
        <w:t xml:space="preserve">should be considered as conservative estimates.  The considerable rise in patronage over the same period will have had a detrimental impact on train kilometre productivity – in simple terms, more passengers require more staff and most of this patronage growth has been accommodated on existing services.  This factor will have been most prevalent when the results were broken down by sector - highest productivity gains were found in the Intercity sector, with this coming from both EC and TC.  More modest improvements were found in the Regional sector and no change in the London and South East sector.  </w:t>
      </w:r>
      <w:r w:rsidR="003776C8">
        <w:t>Unreported e</w:t>
      </w:r>
      <w:r>
        <w:t>stimates based on passenger kilometre</w:t>
      </w:r>
      <w:r w:rsidR="003776C8">
        <w:t>s</w:t>
      </w:r>
      <w:r>
        <w:t xml:space="preserve"> as the output indicated similar </w:t>
      </w:r>
      <w:r w:rsidR="00D54878">
        <w:t xml:space="preserve">productivity </w:t>
      </w:r>
      <w:r>
        <w:t>gains in the regional and intercity sectors, with unitary productivity in the LSE sector.   This raises the whole issue of the choice of output to use as the base measure within transport efficiency studies.  A supply side measure was used for the reasons highlighted, particularly to ensure consistency with previous research.  Such measures also tend to be more in line with production theory and more deterministic in nature, i.e. variations in the inputs will have a more consistent effect on the output.  When passenger based measures are used, this introduces other factors into the efficiency/productivity assessment, notably demand conditions in the operator market and the operator’s marketing effort, and this can produce greater inconsistencies in operator evaluation.  There is no correct answer as to which output should be chosen or easy adjustment to offset any such limitations, hence the results produced need to be considered within the wider context of the issue being studied.  In this case, it needs to be recognised that patronage growth has constrained train productivity and this effect appears to have been most prevalent in the Regional sector.</w:t>
      </w:r>
    </w:p>
    <w:p w14:paraId="05812736" w14:textId="41691D43" w:rsidR="009E2A19" w:rsidRDefault="00FF733D" w:rsidP="009E2A19">
      <w:pPr>
        <w:jc w:val="both"/>
      </w:pPr>
      <w:r>
        <w:t>To conclude</w:t>
      </w:r>
      <w:r w:rsidR="002A1F08">
        <w:t xml:space="preserve">, </w:t>
      </w:r>
      <w:r w:rsidR="009E2A19">
        <w:t>the introduction of franchising into the British passenger rail sector has, in the long run, produc</w:t>
      </w:r>
      <w:r w:rsidR="00557F99">
        <w:t>ed</w:t>
      </w:r>
      <w:r w:rsidR="009E2A19">
        <w:t xml:space="preserve"> technical progress </w:t>
      </w:r>
      <w:r w:rsidR="00557F99">
        <w:t xml:space="preserve">in production </w:t>
      </w:r>
      <w:r w:rsidR="009E2A19">
        <w:t>and ensur</w:t>
      </w:r>
      <w:r w:rsidR="00557F99">
        <w:t>ed</w:t>
      </w:r>
      <w:r w:rsidR="009E2A19">
        <w:t xml:space="preserve"> that firms maintain best practice</w:t>
      </w:r>
      <w:r w:rsidR="00897671">
        <w:t>, but future productivity gains may be more difficult to achieve due to a declin</w:t>
      </w:r>
      <w:r w:rsidR="0033517D">
        <w:t>ing</w:t>
      </w:r>
      <w:r w:rsidR="00897671">
        <w:t xml:space="preserve"> rate of technical progress</w:t>
      </w:r>
      <w:r w:rsidR="002A1F08">
        <w:t xml:space="preserve">.  Further gains therefore </w:t>
      </w:r>
      <w:r w:rsidR="00897671">
        <w:t xml:space="preserve">could </w:t>
      </w:r>
      <w:r w:rsidR="002A1F08">
        <w:t xml:space="preserve">only </w:t>
      </w:r>
      <w:r w:rsidR="00897671">
        <w:t>be achieved through efficiency improvement</w:t>
      </w:r>
      <w:r w:rsidR="0033517D">
        <w:t>,</w:t>
      </w:r>
      <w:r w:rsidR="00897671">
        <w:t xml:space="preserve"> by</w:t>
      </w:r>
      <w:r w:rsidR="0033517D">
        <w:t xml:space="preserve"> for example</w:t>
      </w:r>
      <w:r w:rsidR="00897671">
        <w:t xml:space="preserve"> attempting to further increase competitive pressures in the industry.  Whether that would be desirable however,</w:t>
      </w:r>
      <w:r w:rsidR="002A1F08">
        <w:t xml:space="preserve"> from a </w:t>
      </w:r>
      <w:r w:rsidR="00557F99">
        <w:t>broader</w:t>
      </w:r>
      <w:r w:rsidR="002A1F08">
        <w:t xml:space="preserve"> perspective,</w:t>
      </w:r>
      <w:r w:rsidR="00897671">
        <w:t xml:space="preserve"> is a </w:t>
      </w:r>
      <w:r w:rsidR="00840A3E">
        <w:t xml:space="preserve">completely </w:t>
      </w:r>
      <w:r w:rsidR="00897671">
        <w:t>different matter.</w:t>
      </w:r>
    </w:p>
    <w:p w14:paraId="28C887A1" w14:textId="77777777" w:rsidR="00897671" w:rsidRDefault="00897671" w:rsidP="009E2A19">
      <w:pPr>
        <w:jc w:val="both"/>
      </w:pPr>
    </w:p>
    <w:p w14:paraId="28BD2E86" w14:textId="2CD8E56F" w:rsidR="00DA22E9" w:rsidRDefault="00DA22E9" w:rsidP="001722EF">
      <w:pPr>
        <w:jc w:val="both"/>
      </w:pPr>
    </w:p>
    <w:p w14:paraId="6FE8F322" w14:textId="77777777" w:rsidR="00BE07EA" w:rsidRDefault="00BE07EA" w:rsidP="00040DFB">
      <w:pPr>
        <w:pStyle w:val="Heading2"/>
      </w:pPr>
      <w:r>
        <w:t>References</w:t>
      </w:r>
    </w:p>
    <w:p w14:paraId="56C4513E" w14:textId="77777777" w:rsidR="00094101" w:rsidRDefault="00094101" w:rsidP="003D2C33">
      <w:pPr>
        <w:jc w:val="both"/>
      </w:pPr>
      <w:r>
        <w:t>Affuso, L., A. Angeriz, and M. G. Pollitt (2002): ‘Measuring the efficiency of Britain’s privatised train operating companies,’ Regulation Initiative Discussion Paper Series, no. 48, London Business School, (and available on the web at</w:t>
      </w:r>
      <w:r w:rsidRPr="00094101">
        <w:t xml:space="preserve"> http://facultyresearch.london.edu/docs/paper_48.pdf</w:t>
      </w:r>
      <w:r>
        <w:t xml:space="preserve"> , last accessed 6</w:t>
      </w:r>
      <w:r w:rsidRPr="00094101">
        <w:rPr>
          <w:vertAlign w:val="superscript"/>
        </w:rPr>
        <w:t>th</w:t>
      </w:r>
      <w:r>
        <w:t xml:space="preserve"> April, 2017)</w:t>
      </w:r>
    </w:p>
    <w:p w14:paraId="3ABE9FAD" w14:textId="4E01550F" w:rsidR="00040DFB" w:rsidRDefault="00040DFB" w:rsidP="003D2C33">
      <w:pPr>
        <w:jc w:val="both"/>
      </w:pPr>
      <w:r>
        <w:t>Coelli, T. (1996).  A guide to DEAP version 2.1:  a data envelopment analysis (computer) program.  Centre for Efficiency and Productivity Analysis, University of New England, Working Paper No 8/96.</w:t>
      </w:r>
    </w:p>
    <w:p w14:paraId="1F199534" w14:textId="270CF8C5" w:rsidR="00040DFB" w:rsidRDefault="00040DFB" w:rsidP="003D2C33">
      <w:pPr>
        <w:jc w:val="both"/>
      </w:pPr>
      <w:r>
        <w:t>Coelli, T.</w:t>
      </w:r>
      <w:r w:rsidR="00F51B49">
        <w:t xml:space="preserve">, D.S. Prasada Rao and G. E. Battese. </w:t>
      </w:r>
      <w:r>
        <w:t xml:space="preserve"> </w:t>
      </w:r>
      <w:r w:rsidR="00F51B49">
        <w:t>(199</w:t>
      </w:r>
      <w:r w:rsidR="0033517D">
        <w:t>8</w:t>
      </w:r>
      <w:r w:rsidR="00F51B49">
        <w:t xml:space="preserve">).  </w:t>
      </w:r>
      <w:r w:rsidR="00F51B49" w:rsidRPr="00F51B49">
        <w:rPr>
          <w:i/>
        </w:rPr>
        <w:t>An Introduction to Efficiency and Productivity Analysis</w:t>
      </w:r>
      <w:r w:rsidR="00F51B49">
        <w:t xml:space="preserve">.  </w:t>
      </w:r>
      <w:r w:rsidR="00152C8C">
        <w:t>London: Kluwer Academic Publishers</w:t>
      </w:r>
      <w:r w:rsidR="00F51B49">
        <w:t>.</w:t>
      </w:r>
    </w:p>
    <w:p w14:paraId="77BDF8DE" w14:textId="48EFC0AB" w:rsidR="00040DFB" w:rsidRDefault="00040DFB" w:rsidP="00040DFB">
      <w:pPr>
        <w:jc w:val="both"/>
      </w:pPr>
      <w:r>
        <w:t xml:space="preserve">Cowie, J. (2002).  Subsidy and Productivity in the Privatised British Passenger Railway.  </w:t>
      </w:r>
      <w:r w:rsidRPr="00040DFB">
        <w:rPr>
          <w:i/>
        </w:rPr>
        <w:t>Economic Issues</w:t>
      </w:r>
      <w:r>
        <w:t>, 7, pp. 25–37.</w:t>
      </w:r>
    </w:p>
    <w:p w14:paraId="30BF4952" w14:textId="6264CAE6" w:rsidR="00040DFB" w:rsidRDefault="00040DFB" w:rsidP="00040DFB">
      <w:pPr>
        <w:jc w:val="both"/>
      </w:pPr>
      <w:r>
        <w:t xml:space="preserve">Cowie, J. (2009).  The British passenger rail privatisation: conclusions on subsidy and efficiency from the first round of franchises.  </w:t>
      </w:r>
      <w:r w:rsidRPr="00040DFB">
        <w:rPr>
          <w:i/>
        </w:rPr>
        <w:t>Journal of Transport Economics and Policy</w:t>
      </w:r>
      <w:r>
        <w:t>, 43(1), pp. 85–104.</w:t>
      </w:r>
    </w:p>
    <w:p w14:paraId="68D35B51" w14:textId="3A78A197" w:rsidR="005568C7" w:rsidRDefault="005568C7" w:rsidP="005568C7">
      <w:pPr>
        <w:jc w:val="both"/>
      </w:pPr>
      <w:r>
        <w:t>Färe, R., S. Grosskopf, M. Norris and Z. Zhang</w:t>
      </w:r>
      <w:r w:rsidRPr="005568C7">
        <w:t xml:space="preserve"> </w:t>
      </w:r>
      <w:r>
        <w:t xml:space="preserve">(1994). Productivity Growth, Technical Progress, and Efficiency Change in Industrialized Countries.  </w:t>
      </w:r>
      <w:r w:rsidRPr="005568C7">
        <w:rPr>
          <w:i/>
        </w:rPr>
        <w:t>The American Economic Review</w:t>
      </w:r>
      <w:r>
        <w:t>, 84(1), pp. 66 – 83.</w:t>
      </w:r>
    </w:p>
    <w:p w14:paraId="66C432A5" w14:textId="77777777" w:rsidR="00CC30CA" w:rsidRDefault="00CC30CA" w:rsidP="003D2C33">
      <w:pPr>
        <w:jc w:val="both"/>
      </w:pPr>
      <w:r>
        <w:t xml:space="preserve">DfT (2012).  </w:t>
      </w:r>
      <w:r w:rsidRPr="00CC30CA">
        <w:rPr>
          <w:i/>
        </w:rPr>
        <w:t>Transport Statistics Great Britain, 2012</w:t>
      </w:r>
      <w:r>
        <w:t>.  London: Department for Transport</w:t>
      </w:r>
    </w:p>
    <w:p w14:paraId="623556CF" w14:textId="208C13F7" w:rsidR="00040DFB" w:rsidRDefault="00040DFB" w:rsidP="003D2C33">
      <w:pPr>
        <w:jc w:val="both"/>
      </w:pPr>
      <w:r>
        <w:t xml:space="preserve">Julien, S-A, J. Cowie and J. Monios (2017).  </w:t>
      </w:r>
      <w:r w:rsidRPr="00040DFB">
        <w:rPr>
          <w:lang w:val="en-US"/>
        </w:rPr>
        <w:t>Evolutionary Technical Efficiency and Productivity: An application to Small Island Developing States (SIDS) ports with emphasis on the Caribbean</w:t>
      </w:r>
      <w:r>
        <w:rPr>
          <w:lang w:val="en-US"/>
        </w:rPr>
        <w:t>.  Paper presented at the a</w:t>
      </w:r>
      <w:r w:rsidRPr="00040DFB">
        <w:rPr>
          <w:lang w:val="en"/>
        </w:rPr>
        <w:t>nnual conference of the International Association of Maritime Economists (IAME</w:t>
      </w:r>
      <w:r>
        <w:rPr>
          <w:lang w:val="en"/>
        </w:rPr>
        <w:t xml:space="preserve"> 2017</w:t>
      </w:r>
      <w:r w:rsidRPr="00040DFB">
        <w:rPr>
          <w:lang w:val="en"/>
        </w:rPr>
        <w:t>)</w:t>
      </w:r>
      <w:r>
        <w:rPr>
          <w:lang w:val="en"/>
        </w:rPr>
        <w:t>, Kyoto, Japan.</w:t>
      </w:r>
    </w:p>
    <w:p w14:paraId="2520472B" w14:textId="1113E2D0" w:rsidR="00040DFB" w:rsidRDefault="00152C8C" w:rsidP="003D2C33">
      <w:pPr>
        <w:jc w:val="both"/>
      </w:pPr>
      <w:r>
        <w:t>Löthgren, M.  (1998).  How to bootstrap DEA estimators</w:t>
      </w:r>
      <w:r w:rsidR="00FC1818">
        <w:t>; a Monte Carlo comparison</w:t>
      </w:r>
      <w:r>
        <w:t>.  Department of Economic Statistics, University of Stockholm, Working Paper Series in Economics and Finance No 223 (February).</w:t>
      </w:r>
    </w:p>
    <w:p w14:paraId="6A84E7E2" w14:textId="77777777" w:rsidR="00364902" w:rsidRPr="00364902" w:rsidRDefault="00364902" w:rsidP="00364902">
      <w:pPr>
        <w:spacing w:after="160" w:line="259" w:lineRule="auto"/>
        <w:rPr>
          <w:rFonts w:ascii="Calibri" w:eastAsia="Calibri" w:hAnsi="Calibri" w:cs="Times New Roman"/>
        </w:rPr>
      </w:pPr>
      <w:r w:rsidRPr="00364902">
        <w:rPr>
          <w:rFonts w:ascii="Calibri" w:eastAsia="Calibri" w:hAnsi="Calibri" w:cs="Times New Roman"/>
        </w:rPr>
        <w:t>ORR (2016).  Rail Fares Index (January 2016) Statistical Release.  London: ORR</w:t>
      </w:r>
    </w:p>
    <w:p w14:paraId="0FD7C427" w14:textId="6556753C" w:rsidR="00345C8E" w:rsidRDefault="00345C8E" w:rsidP="003D2C33">
      <w:pPr>
        <w:jc w:val="both"/>
      </w:pPr>
      <w:r>
        <w:t>ORR (201</w:t>
      </w:r>
      <w:r w:rsidR="00517C02">
        <w:t>7</w:t>
      </w:r>
      <w:r>
        <w:t xml:space="preserve">).  </w:t>
      </w:r>
      <w:r w:rsidR="00517C02">
        <w:t xml:space="preserve">National Rail Trends Data Portal, open online data base found at: </w:t>
      </w:r>
      <w:r w:rsidR="00517C02" w:rsidRPr="00517C02">
        <w:t>http://dataportal.orr.gov.uk/</w:t>
      </w:r>
      <w:r w:rsidR="00517C02">
        <w:t>, last accessed on 12</w:t>
      </w:r>
      <w:r w:rsidR="00517C02" w:rsidRPr="00517C02">
        <w:rPr>
          <w:vertAlign w:val="superscript"/>
        </w:rPr>
        <w:t>th</w:t>
      </w:r>
      <w:r w:rsidR="00517C02">
        <w:t xml:space="preserve"> April 2017.</w:t>
      </w:r>
    </w:p>
    <w:p w14:paraId="638CC855" w14:textId="77777777" w:rsidR="00C6394A" w:rsidRDefault="00C6394A" w:rsidP="003D2C33">
      <w:pPr>
        <w:jc w:val="both"/>
      </w:pPr>
      <w:r>
        <w:t>Pollit</w:t>
      </w:r>
      <w:r w:rsidR="00345C8E">
        <w:t xml:space="preserve">t, M. and A. Smith (2001).  </w:t>
      </w:r>
      <w:r w:rsidR="00345C8E" w:rsidRPr="00345C8E">
        <w:t>The Restructuring and Privatisation of British Rail: Was it really that bad?</w:t>
      </w:r>
      <w:r w:rsidR="00345C8E">
        <w:t xml:space="preserve">  DAE Working Paper No 0118 (November, 2001).</w:t>
      </w:r>
    </w:p>
    <w:p w14:paraId="2AEE5F9D" w14:textId="77777777" w:rsidR="00BE07EA" w:rsidRDefault="00BE07EA" w:rsidP="003D2C33">
      <w:pPr>
        <w:jc w:val="both"/>
      </w:pPr>
      <w:r>
        <w:t xml:space="preserve">Smith, A. (2006).  Are Britain’s Railways Costing Too Much?  Perspectives based on TFP comparisons with British Rail 1963  - 2002.  </w:t>
      </w:r>
      <w:r w:rsidRPr="00BE07EA">
        <w:rPr>
          <w:i/>
        </w:rPr>
        <w:t>Journal of Transport Economics and Policy</w:t>
      </w:r>
      <w:r>
        <w:t>, 40(1), p. 1 – 44.</w:t>
      </w:r>
    </w:p>
    <w:p w14:paraId="66E92E3C" w14:textId="593F5DCD" w:rsidR="005568C7" w:rsidRDefault="00CC30CA" w:rsidP="005568C7">
      <w:pPr>
        <w:jc w:val="both"/>
      </w:pPr>
      <w:r>
        <w:t xml:space="preserve">Smith, A. and P. Wheat, (2009).  </w:t>
      </w:r>
      <w:r w:rsidR="005568C7">
        <w:t>The effect of franchising on cost efficiency: evidence from the passenger rail sector in Britain.  Paper presented at the 11</w:t>
      </w:r>
      <w:r w:rsidR="005568C7" w:rsidRPr="005568C7">
        <w:rPr>
          <w:vertAlign w:val="superscript"/>
        </w:rPr>
        <w:t>th</w:t>
      </w:r>
      <w:r w:rsidR="005568C7">
        <w:t xml:space="preserve"> Conference on competition and ownership in land passenger transport (Thredbo 11). The Netherlands: Delft University of Technology.</w:t>
      </w:r>
    </w:p>
    <w:p w14:paraId="6D393957" w14:textId="77777777" w:rsidR="00C6394A" w:rsidRDefault="00C6394A" w:rsidP="003D2C33">
      <w:pPr>
        <w:jc w:val="both"/>
      </w:pPr>
      <w:r>
        <w:t xml:space="preserve">Smith, A., P. Wheat and C. Nash, (2010).  </w:t>
      </w:r>
      <w:r w:rsidRPr="00C6394A">
        <w:t>Exploring the effects of passenger rail franchising in Britain: Evidence</w:t>
      </w:r>
      <w:r>
        <w:t xml:space="preserve"> </w:t>
      </w:r>
      <w:r w:rsidRPr="00C6394A">
        <w:t>from the first two rounds of franchising (1997</w:t>
      </w:r>
      <w:r>
        <w:t>-</w:t>
      </w:r>
      <w:r w:rsidRPr="00C6394A">
        <w:t>2008)</w:t>
      </w:r>
      <w:r>
        <w:t xml:space="preserve">.  </w:t>
      </w:r>
      <w:r w:rsidRPr="00C6394A">
        <w:rPr>
          <w:i/>
        </w:rPr>
        <w:t>Research in Transportation Economics</w:t>
      </w:r>
      <w:r>
        <w:t>, 29, pp. 72 – 79.</w:t>
      </w:r>
    </w:p>
    <w:p w14:paraId="4759BE35" w14:textId="77777777" w:rsidR="004D6A21" w:rsidRDefault="004D6A21" w:rsidP="003D2C33">
      <w:pPr>
        <w:jc w:val="both"/>
      </w:pPr>
      <w:r>
        <w:t xml:space="preserve">Smith, A., P. Wheat (2012).  Evaluating different policy options to franchise failure – evidence from the passenger rail sector in Britain.  </w:t>
      </w:r>
      <w:r w:rsidRPr="004D6A21">
        <w:rPr>
          <w:i/>
        </w:rPr>
        <w:t>Journal of Transport Economics and Policy</w:t>
      </w:r>
      <w:r w:rsidRPr="004D6A21">
        <w:t>, 46</w:t>
      </w:r>
      <w:r>
        <w:t>(</w:t>
      </w:r>
      <w:r w:rsidRPr="004D6A21">
        <w:t>1</w:t>
      </w:r>
      <w:r>
        <w:t>)</w:t>
      </w:r>
      <w:r w:rsidRPr="004D6A21">
        <w:t>,  pp. 25–49</w:t>
      </w:r>
      <w:r>
        <w:t>.</w:t>
      </w:r>
    </w:p>
    <w:p w14:paraId="58E2DDFB" w14:textId="3511F2E2" w:rsidR="00345C8E" w:rsidRDefault="00345C8E" w:rsidP="003D2C33">
      <w:pPr>
        <w:jc w:val="both"/>
      </w:pPr>
      <w:r>
        <w:t>TAS (2017).  Rail Industry Monitor, Online Database</w:t>
      </w:r>
      <w:r w:rsidR="00517C02">
        <w:t>, accessed by subscription.</w:t>
      </w:r>
    </w:p>
    <w:p w14:paraId="126AC126" w14:textId="77777777" w:rsidR="00055C3B" w:rsidRDefault="00055C3B" w:rsidP="003D2C33">
      <w:pPr>
        <w:jc w:val="both"/>
      </w:pPr>
    </w:p>
    <w:sectPr w:rsidR="00055C3B" w:rsidSect="00503E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CBF3E" w14:textId="77777777" w:rsidR="00087433" w:rsidRDefault="00087433" w:rsidP="00E75C0D">
      <w:pPr>
        <w:spacing w:after="0" w:line="240" w:lineRule="auto"/>
      </w:pPr>
      <w:r>
        <w:separator/>
      </w:r>
    </w:p>
  </w:endnote>
  <w:endnote w:type="continuationSeparator" w:id="0">
    <w:p w14:paraId="0D0E3563" w14:textId="77777777" w:rsidR="00087433" w:rsidRDefault="00087433" w:rsidP="00E7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25BC5" w14:textId="77777777" w:rsidR="00087433" w:rsidRDefault="00087433" w:rsidP="00E75C0D">
      <w:pPr>
        <w:spacing w:after="0" w:line="240" w:lineRule="auto"/>
      </w:pPr>
      <w:r>
        <w:separator/>
      </w:r>
    </w:p>
  </w:footnote>
  <w:footnote w:type="continuationSeparator" w:id="0">
    <w:p w14:paraId="7E74204B" w14:textId="77777777" w:rsidR="00087433" w:rsidRDefault="00087433" w:rsidP="00E75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4BC"/>
    <w:multiLevelType w:val="hybridMultilevel"/>
    <w:tmpl w:val="08809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24B79BD"/>
    <w:multiLevelType w:val="hybridMultilevel"/>
    <w:tmpl w:val="5ACC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3D"/>
    <w:rsid w:val="00001310"/>
    <w:rsid w:val="00017CC1"/>
    <w:rsid w:val="00040DFB"/>
    <w:rsid w:val="00050758"/>
    <w:rsid w:val="0005077B"/>
    <w:rsid w:val="00055C3B"/>
    <w:rsid w:val="000566F8"/>
    <w:rsid w:val="00056832"/>
    <w:rsid w:val="00063946"/>
    <w:rsid w:val="00074ACD"/>
    <w:rsid w:val="00087433"/>
    <w:rsid w:val="00094101"/>
    <w:rsid w:val="000B1C73"/>
    <w:rsid w:val="000B4F59"/>
    <w:rsid w:val="000D4AAF"/>
    <w:rsid w:val="000D4DC5"/>
    <w:rsid w:val="000D6D10"/>
    <w:rsid w:val="000D6DA7"/>
    <w:rsid w:val="000F17CD"/>
    <w:rsid w:val="00100B4A"/>
    <w:rsid w:val="00103373"/>
    <w:rsid w:val="00110FB6"/>
    <w:rsid w:val="0012561E"/>
    <w:rsid w:val="001267E2"/>
    <w:rsid w:val="00130464"/>
    <w:rsid w:val="0013587C"/>
    <w:rsid w:val="00136E67"/>
    <w:rsid w:val="0014675F"/>
    <w:rsid w:val="00147ADA"/>
    <w:rsid w:val="00152C8C"/>
    <w:rsid w:val="001575D0"/>
    <w:rsid w:val="00162DB0"/>
    <w:rsid w:val="00164731"/>
    <w:rsid w:val="00166D9C"/>
    <w:rsid w:val="001722EF"/>
    <w:rsid w:val="00172FFA"/>
    <w:rsid w:val="00180515"/>
    <w:rsid w:val="001907D2"/>
    <w:rsid w:val="0019192D"/>
    <w:rsid w:val="001B593D"/>
    <w:rsid w:val="001C0C71"/>
    <w:rsid w:val="001D179F"/>
    <w:rsid w:val="001D2D90"/>
    <w:rsid w:val="001E4B8E"/>
    <w:rsid w:val="001F3570"/>
    <w:rsid w:val="00204141"/>
    <w:rsid w:val="0022455D"/>
    <w:rsid w:val="00227374"/>
    <w:rsid w:val="00246CA0"/>
    <w:rsid w:val="00252D54"/>
    <w:rsid w:val="002532D1"/>
    <w:rsid w:val="0026078A"/>
    <w:rsid w:val="00272998"/>
    <w:rsid w:val="00276716"/>
    <w:rsid w:val="00281641"/>
    <w:rsid w:val="002A0CC3"/>
    <w:rsid w:val="002A1F08"/>
    <w:rsid w:val="002A69BA"/>
    <w:rsid w:val="002A7E50"/>
    <w:rsid w:val="002B579C"/>
    <w:rsid w:val="002B7C3D"/>
    <w:rsid w:val="002C4546"/>
    <w:rsid w:val="002D2DFC"/>
    <w:rsid w:val="002E3697"/>
    <w:rsid w:val="002E5C43"/>
    <w:rsid w:val="002E6018"/>
    <w:rsid w:val="00317955"/>
    <w:rsid w:val="003247C0"/>
    <w:rsid w:val="00330033"/>
    <w:rsid w:val="0033517D"/>
    <w:rsid w:val="003448F9"/>
    <w:rsid w:val="00345C8E"/>
    <w:rsid w:val="00357672"/>
    <w:rsid w:val="00364902"/>
    <w:rsid w:val="0036665C"/>
    <w:rsid w:val="0037096F"/>
    <w:rsid w:val="00371AB4"/>
    <w:rsid w:val="0037339F"/>
    <w:rsid w:val="00375C13"/>
    <w:rsid w:val="003776C8"/>
    <w:rsid w:val="00380FB1"/>
    <w:rsid w:val="00384C73"/>
    <w:rsid w:val="003963BE"/>
    <w:rsid w:val="003B0DB5"/>
    <w:rsid w:val="003D0E85"/>
    <w:rsid w:val="003D2C33"/>
    <w:rsid w:val="003D2DAC"/>
    <w:rsid w:val="003D6DB2"/>
    <w:rsid w:val="003E296E"/>
    <w:rsid w:val="003F6E51"/>
    <w:rsid w:val="00403265"/>
    <w:rsid w:val="00405B3C"/>
    <w:rsid w:val="00412ADA"/>
    <w:rsid w:val="00426310"/>
    <w:rsid w:val="00441839"/>
    <w:rsid w:val="00446123"/>
    <w:rsid w:val="00471685"/>
    <w:rsid w:val="00487BB2"/>
    <w:rsid w:val="004C2924"/>
    <w:rsid w:val="004C569A"/>
    <w:rsid w:val="004C7EEC"/>
    <w:rsid w:val="004D6A21"/>
    <w:rsid w:val="004E4213"/>
    <w:rsid w:val="00503E13"/>
    <w:rsid w:val="00507065"/>
    <w:rsid w:val="005078F4"/>
    <w:rsid w:val="0051116F"/>
    <w:rsid w:val="00517C02"/>
    <w:rsid w:val="00533DCC"/>
    <w:rsid w:val="0055115A"/>
    <w:rsid w:val="005568C7"/>
    <w:rsid w:val="00557F99"/>
    <w:rsid w:val="00576632"/>
    <w:rsid w:val="005814D7"/>
    <w:rsid w:val="00584FCA"/>
    <w:rsid w:val="00585AF5"/>
    <w:rsid w:val="005936C9"/>
    <w:rsid w:val="00595A99"/>
    <w:rsid w:val="005B1C7A"/>
    <w:rsid w:val="005C7C3C"/>
    <w:rsid w:val="005E1DC8"/>
    <w:rsid w:val="005F33EA"/>
    <w:rsid w:val="005F3947"/>
    <w:rsid w:val="005F3A35"/>
    <w:rsid w:val="006233BB"/>
    <w:rsid w:val="00626BC3"/>
    <w:rsid w:val="0067387D"/>
    <w:rsid w:val="00675337"/>
    <w:rsid w:val="006829FD"/>
    <w:rsid w:val="006834BA"/>
    <w:rsid w:val="00690A7E"/>
    <w:rsid w:val="006A1048"/>
    <w:rsid w:val="006A5580"/>
    <w:rsid w:val="006B4B0D"/>
    <w:rsid w:val="006B641F"/>
    <w:rsid w:val="006B6A1A"/>
    <w:rsid w:val="006B73A7"/>
    <w:rsid w:val="006D203F"/>
    <w:rsid w:val="006E1BA4"/>
    <w:rsid w:val="006E4E77"/>
    <w:rsid w:val="00702706"/>
    <w:rsid w:val="0072084B"/>
    <w:rsid w:val="007229D3"/>
    <w:rsid w:val="00725612"/>
    <w:rsid w:val="007425D2"/>
    <w:rsid w:val="00746F81"/>
    <w:rsid w:val="00750D04"/>
    <w:rsid w:val="00761C55"/>
    <w:rsid w:val="00766C59"/>
    <w:rsid w:val="007673EA"/>
    <w:rsid w:val="0077613F"/>
    <w:rsid w:val="007A4217"/>
    <w:rsid w:val="007A4519"/>
    <w:rsid w:val="007B0C89"/>
    <w:rsid w:val="007B49D9"/>
    <w:rsid w:val="007E37B9"/>
    <w:rsid w:val="007F05F9"/>
    <w:rsid w:val="007F142B"/>
    <w:rsid w:val="00804147"/>
    <w:rsid w:val="00812E1B"/>
    <w:rsid w:val="00820C83"/>
    <w:rsid w:val="00840A3E"/>
    <w:rsid w:val="0084120D"/>
    <w:rsid w:val="00844253"/>
    <w:rsid w:val="00847D09"/>
    <w:rsid w:val="0085320A"/>
    <w:rsid w:val="00853EDE"/>
    <w:rsid w:val="008749C5"/>
    <w:rsid w:val="00875EDD"/>
    <w:rsid w:val="00880A0C"/>
    <w:rsid w:val="00883BC9"/>
    <w:rsid w:val="00885795"/>
    <w:rsid w:val="00897671"/>
    <w:rsid w:val="008B1D7F"/>
    <w:rsid w:val="008E4081"/>
    <w:rsid w:val="008E5034"/>
    <w:rsid w:val="008E5531"/>
    <w:rsid w:val="008F6A1E"/>
    <w:rsid w:val="00907E23"/>
    <w:rsid w:val="00917215"/>
    <w:rsid w:val="00917771"/>
    <w:rsid w:val="00921147"/>
    <w:rsid w:val="009268BF"/>
    <w:rsid w:val="00933E33"/>
    <w:rsid w:val="009352FE"/>
    <w:rsid w:val="0095257F"/>
    <w:rsid w:val="00954F22"/>
    <w:rsid w:val="00961874"/>
    <w:rsid w:val="00976882"/>
    <w:rsid w:val="00991089"/>
    <w:rsid w:val="009926A8"/>
    <w:rsid w:val="00994126"/>
    <w:rsid w:val="009953AA"/>
    <w:rsid w:val="009A1F46"/>
    <w:rsid w:val="009B71E7"/>
    <w:rsid w:val="009C3150"/>
    <w:rsid w:val="009D262C"/>
    <w:rsid w:val="009D369D"/>
    <w:rsid w:val="009D44FE"/>
    <w:rsid w:val="009D464B"/>
    <w:rsid w:val="009E2A19"/>
    <w:rsid w:val="009E4F9B"/>
    <w:rsid w:val="009F15B7"/>
    <w:rsid w:val="009F346C"/>
    <w:rsid w:val="00A30676"/>
    <w:rsid w:val="00A72203"/>
    <w:rsid w:val="00A7469A"/>
    <w:rsid w:val="00A822C9"/>
    <w:rsid w:val="00A9190F"/>
    <w:rsid w:val="00AB4EA3"/>
    <w:rsid w:val="00AD7DF7"/>
    <w:rsid w:val="00AE2AA7"/>
    <w:rsid w:val="00AE446C"/>
    <w:rsid w:val="00AF23EF"/>
    <w:rsid w:val="00AF27A6"/>
    <w:rsid w:val="00B10211"/>
    <w:rsid w:val="00B21CB5"/>
    <w:rsid w:val="00B246A2"/>
    <w:rsid w:val="00B4446C"/>
    <w:rsid w:val="00B45E08"/>
    <w:rsid w:val="00B55533"/>
    <w:rsid w:val="00B638A6"/>
    <w:rsid w:val="00B91390"/>
    <w:rsid w:val="00BB26B5"/>
    <w:rsid w:val="00BB719D"/>
    <w:rsid w:val="00BE07EA"/>
    <w:rsid w:val="00BF7D52"/>
    <w:rsid w:val="00C0721D"/>
    <w:rsid w:val="00C36071"/>
    <w:rsid w:val="00C41A47"/>
    <w:rsid w:val="00C43BBF"/>
    <w:rsid w:val="00C57D1C"/>
    <w:rsid w:val="00C57EF8"/>
    <w:rsid w:val="00C6024E"/>
    <w:rsid w:val="00C6394A"/>
    <w:rsid w:val="00C74420"/>
    <w:rsid w:val="00C8601E"/>
    <w:rsid w:val="00C9142D"/>
    <w:rsid w:val="00CA2024"/>
    <w:rsid w:val="00CC30CA"/>
    <w:rsid w:val="00CC6FC9"/>
    <w:rsid w:val="00CE77E2"/>
    <w:rsid w:val="00CF7A16"/>
    <w:rsid w:val="00D0648C"/>
    <w:rsid w:val="00D06F64"/>
    <w:rsid w:val="00D070F7"/>
    <w:rsid w:val="00D166E7"/>
    <w:rsid w:val="00D21F81"/>
    <w:rsid w:val="00D232A6"/>
    <w:rsid w:val="00D54878"/>
    <w:rsid w:val="00D574C2"/>
    <w:rsid w:val="00D635AE"/>
    <w:rsid w:val="00D7029E"/>
    <w:rsid w:val="00D86089"/>
    <w:rsid w:val="00D92BCC"/>
    <w:rsid w:val="00DA22E9"/>
    <w:rsid w:val="00DA5276"/>
    <w:rsid w:val="00DA6442"/>
    <w:rsid w:val="00DB2634"/>
    <w:rsid w:val="00DB47E4"/>
    <w:rsid w:val="00DC6097"/>
    <w:rsid w:val="00DE3751"/>
    <w:rsid w:val="00E02793"/>
    <w:rsid w:val="00E12CE1"/>
    <w:rsid w:val="00E27182"/>
    <w:rsid w:val="00E333BD"/>
    <w:rsid w:val="00E36824"/>
    <w:rsid w:val="00E52735"/>
    <w:rsid w:val="00E737C5"/>
    <w:rsid w:val="00E75C0D"/>
    <w:rsid w:val="00E8047D"/>
    <w:rsid w:val="00E85B02"/>
    <w:rsid w:val="00EA08C7"/>
    <w:rsid w:val="00EA1D4D"/>
    <w:rsid w:val="00EA49E4"/>
    <w:rsid w:val="00EA5676"/>
    <w:rsid w:val="00ED1301"/>
    <w:rsid w:val="00EF14E6"/>
    <w:rsid w:val="00EF4E5C"/>
    <w:rsid w:val="00F21D9B"/>
    <w:rsid w:val="00F22968"/>
    <w:rsid w:val="00F247E4"/>
    <w:rsid w:val="00F2777B"/>
    <w:rsid w:val="00F3508E"/>
    <w:rsid w:val="00F359BE"/>
    <w:rsid w:val="00F51B49"/>
    <w:rsid w:val="00F53778"/>
    <w:rsid w:val="00F55ADD"/>
    <w:rsid w:val="00F56E6E"/>
    <w:rsid w:val="00F6350C"/>
    <w:rsid w:val="00F64FEB"/>
    <w:rsid w:val="00F65EFF"/>
    <w:rsid w:val="00F77933"/>
    <w:rsid w:val="00F8232B"/>
    <w:rsid w:val="00F82A57"/>
    <w:rsid w:val="00F965AB"/>
    <w:rsid w:val="00FA7568"/>
    <w:rsid w:val="00FB1A33"/>
    <w:rsid w:val="00FC1818"/>
    <w:rsid w:val="00FD1CB2"/>
    <w:rsid w:val="00FD4BE9"/>
    <w:rsid w:val="00FE7B40"/>
    <w:rsid w:val="00FF733D"/>
    <w:rsid w:val="00FF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5AB8"/>
  <w15:docId w15:val="{0BFF879B-1F59-45AF-96EA-3895FCBD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13"/>
  </w:style>
  <w:style w:type="paragraph" w:styleId="Heading1">
    <w:name w:val="heading 1"/>
    <w:basedOn w:val="Normal"/>
    <w:next w:val="Normal"/>
    <w:link w:val="Heading1Char"/>
    <w:uiPriority w:val="9"/>
    <w:qFormat/>
    <w:rsid w:val="00E333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33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60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3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333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E6018"/>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E75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C0D"/>
    <w:rPr>
      <w:sz w:val="20"/>
      <w:szCs w:val="20"/>
    </w:rPr>
  </w:style>
  <w:style w:type="character" w:styleId="FootnoteReference">
    <w:name w:val="footnote reference"/>
    <w:basedOn w:val="DefaultParagraphFont"/>
    <w:uiPriority w:val="99"/>
    <w:semiHidden/>
    <w:unhideWhenUsed/>
    <w:rsid w:val="00E75C0D"/>
    <w:rPr>
      <w:vertAlign w:val="superscript"/>
    </w:rPr>
  </w:style>
  <w:style w:type="character" w:styleId="CommentReference">
    <w:name w:val="annotation reference"/>
    <w:basedOn w:val="DefaultParagraphFont"/>
    <w:uiPriority w:val="99"/>
    <w:semiHidden/>
    <w:unhideWhenUsed/>
    <w:rsid w:val="003963BE"/>
    <w:rPr>
      <w:sz w:val="16"/>
      <w:szCs w:val="16"/>
    </w:rPr>
  </w:style>
  <w:style w:type="paragraph" w:styleId="CommentText">
    <w:name w:val="annotation text"/>
    <w:basedOn w:val="Normal"/>
    <w:link w:val="CommentTextChar"/>
    <w:uiPriority w:val="99"/>
    <w:semiHidden/>
    <w:unhideWhenUsed/>
    <w:rsid w:val="003963BE"/>
    <w:pPr>
      <w:spacing w:line="240" w:lineRule="auto"/>
    </w:pPr>
    <w:rPr>
      <w:sz w:val="20"/>
      <w:szCs w:val="20"/>
    </w:rPr>
  </w:style>
  <w:style w:type="character" w:customStyle="1" w:styleId="CommentTextChar">
    <w:name w:val="Comment Text Char"/>
    <w:basedOn w:val="DefaultParagraphFont"/>
    <w:link w:val="CommentText"/>
    <w:uiPriority w:val="99"/>
    <w:semiHidden/>
    <w:rsid w:val="003963BE"/>
    <w:rPr>
      <w:sz w:val="20"/>
      <w:szCs w:val="20"/>
    </w:rPr>
  </w:style>
  <w:style w:type="paragraph" w:styleId="CommentSubject">
    <w:name w:val="annotation subject"/>
    <w:basedOn w:val="CommentText"/>
    <w:next w:val="CommentText"/>
    <w:link w:val="CommentSubjectChar"/>
    <w:uiPriority w:val="99"/>
    <w:semiHidden/>
    <w:unhideWhenUsed/>
    <w:rsid w:val="003963BE"/>
    <w:rPr>
      <w:b/>
      <w:bCs/>
    </w:rPr>
  </w:style>
  <w:style w:type="character" w:customStyle="1" w:styleId="CommentSubjectChar">
    <w:name w:val="Comment Subject Char"/>
    <w:basedOn w:val="CommentTextChar"/>
    <w:link w:val="CommentSubject"/>
    <w:uiPriority w:val="99"/>
    <w:semiHidden/>
    <w:rsid w:val="003963BE"/>
    <w:rPr>
      <w:b/>
      <w:bCs/>
      <w:sz w:val="20"/>
      <w:szCs w:val="20"/>
    </w:rPr>
  </w:style>
  <w:style w:type="paragraph" w:styleId="BalloonText">
    <w:name w:val="Balloon Text"/>
    <w:basedOn w:val="Normal"/>
    <w:link w:val="BalloonTextChar"/>
    <w:uiPriority w:val="99"/>
    <w:semiHidden/>
    <w:unhideWhenUsed/>
    <w:rsid w:val="00396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BE"/>
    <w:rPr>
      <w:rFonts w:ascii="Segoe UI" w:hAnsi="Segoe UI" w:cs="Segoe UI"/>
      <w:sz w:val="18"/>
      <w:szCs w:val="18"/>
    </w:rPr>
  </w:style>
  <w:style w:type="paragraph" w:styleId="ListParagraph">
    <w:name w:val="List Paragraph"/>
    <w:basedOn w:val="Normal"/>
    <w:uiPriority w:val="34"/>
    <w:qFormat/>
    <w:rsid w:val="002E6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'Annual Summary'!$E$4</c:f>
              <c:strCache>
                <c:ptCount val="1"/>
                <c:pt idx="0">
                  <c:v>EC</c:v>
                </c:pt>
              </c:strCache>
            </c:strRef>
          </c:tx>
          <c:spPr>
            <a:ln w="28575" cap="rnd">
              <a:solidFill>
                <a:schemeClr val="accent3">
                  <a:tint val="65000"/>
                </a:schemeClr>
              </a:solidFill>
              <a:round/>
            </a:ln>
            <a:effectLst/>
          </c:spPr>
          <c:marker>
            <c:symbol val="diamond"/>
            <c:size val="5"/>
            <c:spPr>
              <a:solidFill>
                <a:schemeClr val="accent3">
                  <a:tint val="65000"/>
                </a:schemeClr>
              </a:solidFill>
              <a:ln w="9525">
                <a:solidFill>
                  <a:schemeClr val="accent3">
                    <a:tint val="65000"/>
                  </a:schemeClr>
                </a:solidFill>
              </a:ln>
              <a:effectLst/>
            </c:spPr>
          </c:marker>
          <c:cat>
            <c:numRef>
              <c:f>'Annual Summary'!$D$5:$D$22</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'Annual Summary'!$E$5:$E$22</c:f>
              <c:numCache>
                <c:formatCode>0.0000</c:formatCode>
                <c:ptCount val="18"/>
                <c:pt idx="0">
                  <c:v>1.0049681230530236</c:v>
                </c:pt>
                <c:pt idx="1">
                  <c:v>0.96408907549772693</c:v>
                </c:pt>
                <c:pt idx="2">
                  <c:v>1.0465324306106194</c:v>
                </c:pt>
                <c:pt idx="3">
                  <c:v>1.0417021204905901</c:v>
                </c:pt>
                <c:pt idx="4">
                  <c:v>0.94684672436513839</c:v>
                </c:pt>
                <c:pt idx="5">
                  <c:v>1.0425564437013803</c:v>
                </c:pt>
                <c:pt idx="6">
                  <c:v>1.0962265914657612</c:v>
                </c:pt>
                <c:pt idx="7">
                  <c:v>0.98693921985259536</c:v>
                </c:pt>
                <c:pt idx="8">
                  <c:v>1.0706559810766394</c:v>
                </c:pt>
                <c:pt idx="9">
                  <c:v>0.99612088558999012</c:v>
                </c:pt>
                <c:pt idx="10">
                  <c:v>1.0337837960027496</c:v>
                </c:pt>
                <c:pt idx="11">
                  <c:v>0.96943960393303608</c:v>
                </c:pt>
                <c:pt idx="12">
                  <c:v>1.0305135997027108</c:v>
                </c:pt>
                <c:pt idx="13">
                  <c:v>0.99989281568971922</c:v>
                </c:pt>
                <c:pt idx="14">
                  <c:v>0.99082549714295642</c:v>
                </c:pt>
                <c:pt idx="15">
                  <c:v>0.99596612445683397</c:v>
                </c:pt>
                <c:pt idx="16">
                  <c:v>1.0123038936717033</c:v>
                </c:pt>
                <c:pt idx="17">
                  <c:v>0.97523685055865739</c:v>
                </c:pt>
              </c:numCache>
            </c:numRef>
          </c:val>
          <c:smooth val="0"/>
          <c:extLst>
            <c:ext xmlns:c16="http://schemas.microsoft.com/office/drawing/2014/chart" uri="{C3380CC4-5D6E-409C-BE32-E72D297353CC}">
              <c16:uniqueId val="{00000000-A445-4C9F-A8FD-0E4D10D0BA3D}"/>
            </c:ext>
          </c:extLst>
        </c:ser>
        <c:ser>
          <c:idx val="1"/>
          <c:order val="1"/>
          <c:tx>
            <c:strRef>
              <c:f>'Annual Summary'!$F$4</c:f>
              <c:strCache>
                <c:ptCount val="1"/>
                <c:pt idx="0">
                  <c:v>TC</c:v>
                </c:pt>
              </c:strCache>
            </c:strRef>
          </c:tx>
          <c:spPr>
            <a:ln w="28575" cap="rnd">
              <a:solidFill>
                <a:schemeClr val="accent3"/>
              </a:solidFill>
              <a:round/>
            </a:ln>
            <a:effectLst/>
          </c:spPr>
          <c:marker>
            <c:symbol val="square"/>
            <c:size val="5"/>
            <c:spPr>
              <a:solidFill>
                <a:schemeClr val="accent3"/>
              </a:solidFill>
              <a:ln w="9525">
                <a:solidFill>
                  <a:schemeClr val="accent3"/>
                </a:solidFill>
              </a:ln>
              <a:effectLst/>
            </c:spPr>
          </c:marker>
          <c:cat>
            <c:numRef>
              <c:f>'Annual Summary'!$D$5:$D$22</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'Annual Summary'!$F$5:$F$22</c:f>
              <c:numCache>
                <c:formatCode>0.0000</c:formatCode>
                <c:ptCount val="18"/>
                <c:pt idx="0">
                  <c:v>1.0146049838929745</c:v>
                </c:pt>
                <c:pt idx="1">
                  <c:v>1.0768288948259983</c:v>
                </c:pt>
                <c:pt idx="2">
                  <c:v>1.0024579003756262</c:v>
                </c:pt>
                <c:pt idx="3">
                  <c:v>0.96086903515353861</c:v>
                </c:pt>
                <c:pt idx="4">
                  <c:v>1.0382897029593736</c:v>
                </c:pt>
                <c:pt idx="5">
                  <c:v>0.98005154434211827</c:v>
                </c:pt>
                <c:pt idx="6">
                  <c:v>1.0150342908283156</c:v>
                </c:pt>
                <c:pt idx="7">
                  <c:v>1.0409065822881722</c:v>
                </c:pt>
                <c:pt idx="8">
                  <c:v>0.9144429624533259</c:v>
                </c:pt>
                <c:pt idx="9">
                  <c:v>0.99634694221581566</c:v>
                </c:pt>
                <c:pt idx="10">
                  <c:v>0.983860471100231</c:v>
                </c:pt>
                <c:pt idx="11">
                  <c:v>1.0669612049752635</c:v>
                </c:pt>
                <c:pt idx="12">
                  <c:v>0.99085235293541496</c:v>
                </c:pt>
                <c:pt idx="13">
                  <c:v>1.0253659821149843</c:v>
                </c:pt>
                <c:pt idx="14">
                  <c:v>1.0114097362607195</c:v>
                </c:pt>
                <c:pt idx="15">
                  <c:v>0.99196146228461435</c:v>
                </c:pt>
                <c:pt idx="16">
                  <c:v>0.98448253964571208</c:v>
                </c:pt>
                <c:pt idx="17">
                  <c:v>1.0063762060142574</c:v>
                </c:pt>
              </c:numCache>
            </c:numRef>
          </c:val>
          <c:smooth val="0"/>
          <c:extLst>
            <c:ext xmlns:c16="http://schemas.microsoft.com/office/drawing/2014/chart" uri="{C3380CC4-5D6E-409C-BE32-E72D297353CC}">
              <c16:uniqueId val="{00000001-A445-4C9F-A8FD-0E4D10D0BA3D}"/>
            </c:ext>
          </c:extLst>
        </c:ser>
        <c:ser>
          <c:idx val="2"/>
          <c:order val="2"/>
          <c:tx>
            <c:strRef>
              <c:f>'Annual Summary'!$G$4</c:f>
              <c:strCache>
                <c:ptCount val="1"/>
                <c:pt idx="0">
                  <c:v>TFP</c:v>
                </c:pt>
              </c:strCache>
            </c:strRef>
          </c:tx>
          <c:spPr>
            <a:ln w="28575" cap="rnd">
              <a:solidFill>
                <a:schemeClr val="accent3">
                  <a:shade val="65000"/>
                </a:schemeClr>
              </a:solidFill>
              <a:round/>
            </a:ln>
            <a:effectLst/>
          </c:spPr>
          <c:marker>
            <c:symbol val="circle"/>
            <c:size val="5"/>
            <c:spPr>
              <a:solidFill>
                <a:schemeClr val="accent3">
                  <a:shade val="65000"/>
                </a:schemeClr>
              </a:solidFill>
              <a:ln w="9525">
                <a:solidFill>
                  <a:schemeClr val="accent3">
                    <a:shade val="65000"/>
                  </a:schemeClr>
                </a:solidFill>
              </a:ln>
              <a:effectLst/>
            </c:spPr>
          </c:marker>
          <c:cat>
            <c:numRef>
              <c:f>'Annual Summary'!$D$5:$D$22</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'Annual Summary'!$G$5:$G$22</c:f>
              <c:numCache>
                <c:formatCode>0.0000</c:formatCode>
                <c:ptCount val="18"/>
                <c:pt idx="0">
                  <c:v>1.0196021993636319</c:v>
                </c:pt>
                <c:pt idx="1">
                  <c:v>1.0382518788446748</c:v>
                </c:pt>
                <c:pt idx="2">
                  <c:v>1.0489181950785091</c:v>
                </c:pt>
                <c:pt idx="3">
                  <c:v>1.000906721622532</c:v>
                </c:pt>
                <c:pt idx="4">
                  <c:v>0.98590996565410183</c:v>
                </c:pt>
                <c:pt idx="5">
                  <c:v>1.021786708130727</c:v>
                </c:pt>
                <c:pt idx="6">
                  <c:v>1.1127421630213534</c:v>
                </c:pt>
                <c:pt idx="7">
                  <c:v>1.0273995397136897</c:v>
                </c:pt>
                <c:pt idx="8">
                  <c:v>0.9789034402565101</c:v>
                </c:pt>
                <c:pt idx="9">
                  <c:v>0.99254345125803312</c:v>
                </c:pt>
                <c:pt idx="10">
                  <c:v>1.0172217391213552</c:v>
                </c:pt>
                <c:pt idx="11">
                  <c:v>1.0343288828067492</c:v>
                </c:pt>
                <c:pt idx="12">
                  <c:v>1.0212156543743798</c:v>
                </c:pt>
                <c:pt idx="13">
                  <c:v>1.0252858584965252</c:v>
                </c:pt>
                <c:pt idx="14">
                  <c:v>1.0022301659760127</c:v>
                </c:pt>
                <c:pt idx="15">
                  <c:v>0.98799780393677217</c:v>
                </c:pt>
                <c:pt idx="16">
                  <c:v>0.99653008463977355</c:v>
                </c:pt>
                <c:pt idx="17">
                  <c:v>0.98158364757586425</c:v>
                </c:pt>
              </c:numCache>
            </c:numRef>
          </c:val>
          <c:smooth val="0"/>
          <c:extLst>
            <c:ext xmlns:c16="http://schemas.microsoft.com/office/drawing/2014/chart" uri="{C3380CC4-5D6E-409C-BE32-E72D297353CC}">
              <c16:uniqueId val="{00000002-A445-4C9F-A8FD-0E4D10D0BA3D}"/>
            </c:ext>
          </c:extLst>
        </c:ser>
        <c:dLbls>
          <c:showLegendKey val="0"/>
          <c:showVal val="0"/>
          <c:showCatName val="0"/>
          <c:showSerName val="0"/>
          <c:showPercent val="0"/>
          <c:showBubbleSize val="0"/>
        </c:dLbls>
        <c:marker val="1"/>
        <c:smooth val="0"/>
        <c:axId val="276985912"/>
        <c:axId val="276985520"/>
      </c:lineChart>
      <c:catAx>
        <c:axId val="27698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985520"/>
        <c:crosses val="autoZero"/>
        <c:auto val="1"/>
        <c:lblAlgn val="ctr"/>
        <c:lblOffset val="100"/>
        <c:noMultiLvlLbl val="0"/>
      </c:catAx>
      <c:valAx>
        <c:axId val="276985520"/>
        <c:scaling>
          <c:orientation val="minMax"/>
          <c:min val="0.8"/>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985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'Annual Summary'!$E$28</c:f>
              <c:strCache>
                <c:ptCount val="1"/>
                <c:pt idx="0">
                  <c:v>EC</c:v>
                </c:pt>
              </c:strCache>
            </c:strRef>
          </c:tx>
          <c:spPr>
            <a:ln w="19050" cap="rnd" cmpd="sng" algn="ctr">
              <a:solidFill>
                <a:schemeClr val="accent3">
                  <a:tint val="65000"/>
                </a:schemeClr>
              </a:solidFill>
              <a:prstDash val="solid"/>
              <a:round/>
            </a:ln>
            <a:effectLst/>
          </c:spPr>
          <c:marker>
            <c:symbol val="triangle"/>
            <c:size val="5"/>
            <c:spPr>
              <a:solidFill>
                <a:schemeClr val="accent3">
                  <a:tint val="65000"/>
                </a:schemeClr>
              </a:solidFill>
              <a:ln w="6350" cap="flat" cmpd="sng" algn="ctr">
                <a:solidFill>
                  <a:schemeClr val="accent3">
                    <a:tint val="65000"/>
                  </a:schemeClr>
                </a:solidFill>
                <a:prstDash val="solid"/>
                <a:round/>
              </a:ln>
              <a:effectLst/>
            </c:spPr>
          </c:marker>
          <c:cat>
            <c:numRef>
              <c:f>'Annual Summary'!$D$29:$D$46</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'Annual Summary'!$E$29:$E$46</c:f>
              <c:numCache>
                <c:formatCode>0.0000</c:formatCode>
                <c:ptCount val="18"/>
                <c:pt idx="0">
                  <c:v>1.0049681230530236</c:v>
                </c:pt>
                <c:pt idx="1">
                  <c:v>0.96887878865887544</c:v>
                </c:pt>
                <c:pt idx="2">
                  <c:v>1.0139630736622456</c:v>
                </c:pt>
                <c:pt idx="3">
                  <c:v>1.0562474839331175</c:v>
                </c:pt>
                <c:pt idx="4">
                  <c:v>1.0001044702809914</c:v>
                </c:pt>
                <c:pt idx="5">
                  <c:v>1.0426653598660032</c:v>
                </c:pt>
                <c:pt idx="6">
                  <c:v>1.14299749348533</c:v>
                </c:pt>
                <c:pt idx="7">
                  <c:v>1.1280690545138836</c:v>
                </c:pt>
                <c:pt idx="8">
                  <c:v>1.2077738802827591</c:v>
                </c:pt>
                <c:pt idx="9">
                  <c:v>1.2030887872197207</c:v>
                </c:pt>
                <c:pt idx="10">
                  <c:v>1.2437336933803471</c:v>
                </c:pt>
                <c:pt idx="11">
                  <c:v>1.2057246991088157</c:v>
                </c:pt>
                <c:pt idx="12">
                  <c:v>1.2425156999290936</c:v>
                </c:pt>
                <c:pt idx="13">
                  <c:v>1.2423825217407836</c:v>
                </c:pt>
                <c:pt idx="14">
                  <c:v>1.2309842797455317</c:v>
                </c:pt>
                <c:pt idx="15">
                  <c:v>1.2260186423654444</c:v>
                </c:pt>
                <c:pt idx="16">
                  <c:v>1.2411034453806349</c:v>
                </c:pt>
                <c:pt idx="17">
                  <c:v>1.2103698152905091</c:v>
                </c:pt>
              </c:numCache>
            </c:numRef>
          </c:val>
          <c:smooth val="0"/>
          <c:extLst>
            <c:ext xmlns:c16="http://schemas.microsoft.com/office/drawing/2014/chart" uri="{C3380CC4-5D6E-409C-BE32-E72D297353CC}">
              <c16:uniqueId val="{00000000-7350-4EAA-9D96-6D67E1863704}"/>
            </c:ext>
          </c:extLst>
        </c:ser>
        <c:ser>
          <c:idx val="1"/>
          <c:order val="1"/>
          <c:tx>
            <c:strRef>
              <c:f>'Annual Summary'!$F$28</c:f>
              <c:strCache>
                <c:ptCount val="1"/>
                <c:pt idx="0">
                  <c:v>TC</c:v>
                </c:pt>
              </c:strCache>
            </c:strRef>
          </c:tx>
          <c:spPr>
            <a:ln w="19050" cap="rnd" cmpd="sng" algn="ctr">
              <a:solidFill>
                <a:schemeClr val="accent3"/>
              </a:solidFill>
              <a:prstDash val="solid"/>
              <a:round/>
            </a:ln>
            <a:effectLst/>
          </c:spPr>
          <c:marker>
            <c:symbol val="circle"/>
            <c:size val="5"/>
            <c:spPr>
              <a:solidFill>
                <a:schemeClr val="accent3"/>
              </a:solidFill>
              <a:ln w="6350" cap="flat" cmpd="sng" algn="ctr">
                <a:solidFill>
                  <a:schemeClr val="accent3"/>
                </a:solidFill>
                <a:prstDash val="solid"/>
                <a:round/>
              </a:ln>
              <a:effectLst/>
            </c:spPr>
          </c:marker>
          <c:cat>
            <c:numRef>
              <c:f>'Annual Summary'!$D$29:$D$46</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'Annual Summary'!$F$29:$F$46</c:f>
              <c:numCache>
                <c:formatCode>0.0000</c:formatCode>
                <c:ptCount val="18"/>
                <c:pt idx="0">
                  <c:v>1.0146049838929745</c:v>
                </c:pt>
                <c:pt idx="1">
                  <c:v>1.0925559634904216</c:v>
                </c:pt>
                <c:pt idx="2">
                  <c:v>1.0952413572034774</c:v>
                </c:pt>
                <c:pt idx="3">
                  <c:v>1.0523835061563573</c:v>
                </c:pt>
                <c:pt idx="4">
                  <c:v>1.0926789580064284</c:v>
                </c:pt>
                <c:pt idx="5">
                  <c:v>1.0708817002643367</c:v>
                </c:pt>
                <c:pt idx="6">
                  <c:v>1.0869816471888318</c:v>
                </c:pt>
                <c:pt idx="7">
                  <c:v>1.1314463513852948</c:v>
                </c:pt>
                <c:pt idx="8">
                  <c:v>1.0346431534177758</c:v>
                </c:pt>
                <c:pt idx="9">
                  <c:v>1.03086354219233</c:v>
                </c:pt>
                <c:pt idx="10">
                  <c:v>1.0142258902613988</c:v>
                </c:pt>
                <c:pt idx="11">
                  <c:v>1.0821396779904113</c:v>
                </c:pt>
                <c:pt idx="12">
                  <c:v>1.0722406461415714</c:v>
                </c:pt>
                <c:pt idx="13">
                  <c:v>1.0994390831945577</c:v>
                </c:pt>
                <c:pt idx="14">
                  <c:v>1.111983393168535</c:v>
                </c:pt>
                <c:pt idx="15">
                  <c:v>1.1030446727236671</c:v>
                </c:pt>
                <c:pt idx="16">
                  <c:v>1.0859282207456691</c:v>
                </c:pt>
                <c:pt idx="17">
                  <c:v>1.0928523227978395</c:v>
                </c:pt>
              </c:numCache>
            </c:numRef>
          </c:val>
          <c:smooth val="0"/>
          <c:extLst>
            <c:ext xmlns:c16="http://schemas.microsoft.com/office/drawing/2014/chart" uri="{C3380CC4-5D6E-409C-BE32-E72D297353CC}">
              <c16:uniqueId val="{00000001-7350-4EAA-9D96-6D67E1863704}"/>
            </c:ext>
          </c:extLst>
        </c:ser>
        <c:ser>
          <c:idx val="2"/>
          <c:order val="2"/>
          <c:tx>
            <c:strRef>
              <c:f>'Annual Summary'!$G$28</c:f>
              <c:strCache>
                <c:ptCount val="1"/>
                <c:pt idx="0">
                  <c:v>TFP</c:v>
                </c:pt>
              </c:strCache>
            </c:strRef>
          </c:tx>
          <c:spPr>
            <a:ln w="19050" cap="rnd" cmpd="sng" algn="ctr">
              <a:solidFill>
                <a:schemeClr val="accent3">
                  <a:shade val="65000"/>
                </a:schemeClr>
              </a:solidFill>
              <a:prstDash val="solid"/>
              <a:round/>
            </a:ln>
            <a:effectLst/>
          </c:spPr>
          <c:marker>
            <c:symbol val="square"/>
            <c:size val="5"/>
            <c:spPr>
              <a:solidFill>
                <a:schemeClr val="accent3">
                  <a:shade val="65000"/>
                </a:schemeClr>
              </a:solidFill>
              <a:ln w="6350" cap="flat" cmpd="sng" algn="ctr">
                <a:solidFill>
                  <a:schemeClr val="accent3">
                    <a:shade val="65000"/>
                  </a:schemeClr>
                </a:solidFill>
                <a:prstDash val="solid"/>
                <a:round/>
              </a:ln>
              <a:effectLst/>
            </c:spPr>
          </c:marker>
          <c:cat>
            <c:numRef>
              <c:f>'Annual Summary'!$D$29:$D$46</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'Annual Summary'!$G$29:$G$46</c:f>
              <c:numCache>
                <c:formatCode>0.0000</c:formatCode>
                <c:ptCount val="18"/>
                <c:pt idx="0">
                  <c:v>1.0196021993636319</c:v>
                </c:pt>
                <c:pt idx="1">
                  <c:v>1.0586038991634537</c:v>
                </c:pt>
                <c:pt idx="2">
                  <c:v>1.110388891213602</c:v>
                </c:pt>
                <c:pt idx="3">
                  <c:v>1.1113957048306846</c:v>
                </c:pt>
                <c:pt idx="4">
                  <c:v>1.0957361011777365</c:v>
                </c:pt>
                <c:pt idx="5">
                  <c:v>1.1196085838023966</c:v>
                </c:pt>
                <c:pt idx="6">
                  <c:v>1.245835677277553</c:v>
                </c:pt>
                <c:pt idx="7">
                  <c:v>1.2799710013938508</c:v>
                </c:pt>
                <c:pt idx="8">
                  <c:v>1.2529680166930108</c:v>
                </c:pt>
                <c:pt idx="9">
                  <c:v>1.2436251996044139</c:v>
                </c:pt>
                <c:pt idx="10">
                  <c:v>1.2650425883567442</c:v>
                </c:pt>
                <c:pt idx="11">
                  <c:v>1.3084700871179895</c:v>
                </c:pt>
                <c:pt idx="12">
                  <c:v>1.3362301362454994</c:v>
                </c:pt>
                <c:pt idx="13">
                  <c:v>1.3700178623893957</c:v>
                </c:pt>
                <c:pt idx="14">
                  <c:v>1.3730732296126262</c:v>
                </c:pt>
                <c:pt idx="15">
                  <c:v>1.356593335501646</c:v>
                </c:pt>
                <c:pt idx="16">
                  <c:v>1.351886071449208</c:v>
                </c:pt>
                <c:pt idx="17">
                  <c:v>1.3269892611201191</c:v>
                </c:pt>
              </c:numCache>
            </c:numRef>
          </c:val>
          <c:smooth val="0"/>
          <c:extLst>
            <c:ext xmlns:c16="http://schemas.microsoft.com/office/drawing/2014/chart" uri="{C3380CC4-5D6E-409C-BE32-E72D297353CC}">
              <c16:uniqueId val="{00000002-7350-4EAA-9D96-6D67E1863704}"/>
            </c:ext>
          </c:extLst>
        </c:ser>
        <c:dLbls>
          <c:showLegendKey val="0"/>
          <c:showVal val="0"/>
          <c:showCatName val="0"/>
          <c:showSerName val="0"/>
          <c:showPercent val="0"/>
          <c:showBubbleSize val="0"/>
        </c:dLbls>
        <c:marker val="1"/>
        <c:smooth val="0"/>
        <c:axId val="277840464"/>
        <c:axId val="365276992"/>
      </c:lineChart>
      <c:catAx>
        <c:axId val="277840464"/>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65276992"/>
        <c:crosses val="autoZero"/>
        <c:auto val="1"/>
        <c:lblAlgn val="ctr"/>
        <c:lblOffset val="100"/>
        <c:tickLblSkip val="2"/>
        <c:noMultiLvlLbl val="0"/>
      </c:catAx>
      <c:valAx>
        <c:axId val="365276992"/>
        <c:scaling>
          <c:orientation val="minMax"/>
          <c:min val="0.8"/>
        </c:scaling>
        <c:delete val="0"/>
        <c:axPos val="l"/>
        <c:majorGridlines>
          <c:spPr>
            <a:ln w="6350" cap="flat" cmpd="sng" algn="ctr">
              <a:solidFill>
                <a:schemeClr val="tx1">
                  <a:tint val="75000"/>
                </a:schemeClr>
              </a:solidFill>
              <a:prstDash val="solid"/>
              <a:round/>
            </a:ln>
            <a:effectLst/>
          </c:spPr>
        </c:majorGridlines>
        <c:numFmt formatCode="0.00"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77840464"/>
        <c:crosses val="autoZero"/>
        <c:crossBetween val="between"/>
      </c:valAx>
      <c:spPr>
        <a:solidFill>
          <a:schemeClr val="bg1"/>
        </a:solid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25240594925638"/>
          <c:y val="5.1400554097404488E-2"/>
          <c:w val="0.85476137357830273"/>
          <c:h val="0.79523549139690863"/>
        </c:manualLayout>
      </c:layout>
      <c:lineChart>
        <c:grouping val="standard"/>
        <c:varyColors val="0"/>
        <c:ser>
          <c:idx val="0"/>
          <c:order val="0"/>
          <c:tx>
            <c:strRef>
              <c:f>TFP!$C$57</c:f>
              <c:strCache>
                <c:ptCount val="1"/>
                <c:pt idx="0">
                  <c:v>EC</c:v>
                </c:pt>
              </c:strCache>
            </c:strRef>
          </c:tx>
          <c:spPr>
            <a:ln w="19050" cap="rnd" cmpd="sng" algn="ctr">
              <a:solidFill>
                <a:schemeClr val="accent3">
                  <a:shade val="65000"/>
                </a:schemeClr>
              </a:solidFill>
              <a:prstDash val="solid"/>
              <a:round/>
            </a:ln>
            <a:effectLst/>
          </c:spPr>
          <c:marker>
            <c:symbol val="triangle"/>
            <c:size val="5"/>
            <c:spPr>
              <a:solidFill>
                <a:schemeClr val="accent3">
                  <a:shade val="65000"/>
                </a:schemeClr>
              </a:solidFill>
              <a:ln w="6350" cap="flat" cmpd="sng" algn="ctr">
                <a:solidFill>
                  <a:schemeClr val="accent3">
                    <a:shade val="65000"/>
                  </a:schemeClr>
                </a:solidFill>
                <a:prstDash val="solid"/>
                <a:round/>
              </a:ln>
              <a:effectLst/>
            </c:spPr>
          </c:marker>
          <c:cat>
            <c:numRef>
              <c:f>TFP!$B$58:$B$75</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TFP!$C$58:$C$75</c:f>
              <c:numCache>
                <c:formatCode>0.0000</c:formatCode>
                <c:ptCount val="18"/>
                <c:pt idx="0">
                  <c:v>1.0063108548374753</c:v>
                </c:pt>
                <c:pt idx="1">
                  <c:v>1.0375522733420524</c:v>
                </c:pt>
                <c:pt idx="2">
                  <c:v>1.0669906092827659</c:v>
                </c:pt>
                <c:pt idx="3">
                  <c:v>1.0421548082902603</c:v>
                </c:pt>
                <c:pt idx="4">
                  <c:v>1.0188033588007084</c:v>
                </c:pt>
                <c:pt idx="5">
                  <c:v>1.0366251639452249</c:v>
                </c:pt>
                <c:pt idx="6">
                  <c:v>1.020449683557914</c:v>
                </c:pt>
                <c:pt idx="7">
                  <c:v>1.0511331337376491</c:v>
                </c:pt>
                <c:pt idx="8">
                  <c:v>1.0296111213454966</c:v>
                </c:pt>
                <c:pt idx="9">
                  <c:v>1.0144853792613053</c:v>
                </c:pt>
                <c:pt idx="10">
                  <c:v>0.99153020477112885</c:v>
                </c:pt>
                <c:pt idx="11">
                  <c:v>1.0207402327556534</c:v>
                </c:pt>
                <c:pt idx="12">
                  <c:v>1.0358531585333817</c:v>
                </c:pt>
                <c:pt idx="13">
                  <c:v>1.0577302768227668</c:v>
                </c:pt>
                <c:pt idx="14">
                  <c:v>1.0544731153831088</c:v>
                </c:pt>
                <c:pt idx="15">
                  <c:v>1.0393830383775335</c:v>
                </c:pt>
                <c:pt idx="16">
                  <c:v>1.031105098762698</c:v>
                </c:pt>
                <c:pt idx="17">
                  <c:v>1.0076950975549197</c:v>
                </c:pt>
              </c:numCache>
            </c:numRef>
          </c:val>
          <c:smooth val="0"/>
          <c:extLst>
            <c:ext xmlns:c16="http://schemas.microsoft.com/office/drawing/2014/chart" uri="{C3380CC4-5D6E-409C-BE32-E72D297353CC}">
              <c16:uniqueId val="{00000000-308E-4E72-A519-FFA9794A2112}"/>
            </c:ext>
          </c:extLst>
        </c:ser>
        <c:ser>
          <c:idx val="1"/>
          <c:order val="1"/>
          <c:tx>
            <c:strRef>
              <c:f>TFP!$D$57</c:f>
              <c:strCache>
                <c:ptCount val="1"/>
                <c:pt idx="0">
                  <c:v>TC</c:v>
                </c:pt>
              </c:strCache>
            </c:strRef>
          </c:tx>
          <c:spPr>
            <a:ln w="19050" cap="rnd" cmpd="sng" algn="ctr">
              <a:solidFill>
                <a:schemeClr val="accent3"/>
              </a:solidFill>
              <a:prstDash val="solid"/>
              <a:round/>
            </a:ln>
            <a:effectLst/>
          </c:spPr>
          <c:marker>
            <c:symbol val="circle"/>
            <c:size val="5"/>
            <c:spPr>
              <a:solidFill>
                <a:schemeClr val="accent3"/>
              </a:solidFill>
              <a:ln w="6350" cap="flat" cmpd="sng" algn="ctr">
                <a:solidFill>
                  <a:schemeClr val="accent3"/>
                </a:solidFill>
                <a:prstDash val="solid"/>
                <a:round/>
              </a:ln>
              <a:effectLst/>
            </c:spPr>
          </c:marker>
          <c:cat>
            <c:numRef>
              <c:f>TFP!$B$58:$B$75</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TFP!$D$58:$D$75</c:f>
              <c:numCache>
                <c:formatCode>0.0000</c:formatCode>
                <c:ptCount val="18"/>
                <c:pt idx="0">
                  <c:v>1.011690356249648</c:v>
                </c:pt>
                <c:pt idx="1">
                  <c:v>1.0228704496193968</c:v>
                </c:pt>
                <c:pt idx="2">
                  <c:v>1.0334615241106322</c:v>
                </c:pt>
                <c:pt idx="3">
                  <c:v>1.0439975182340919</c:v>
                </c:pt>
                <c:pt idx="4">
                  <c:v>1.0543509224248075</c:v>
                </c:pt>
                <c:pt idx="5">
                  <c:v>1.0639732288144423</c:v>
                </c:pt>
                <c:pt idx="6">
                  <c:v>1.0731840085926494</c:v>
                </c:pt>
                <c:pt idx="7">
                  <c:v>1.0819560794481957</c:v>
                </c:pt>
                <c:pt idx="8">
                  <c:v>1.0899386943330629</c:v>
                </c:pt>
                <c:pt idx="9">
                  <c:v>1.0979182445003135</c:v>
                </c:pt>
                <c:pt idx="10">
                  <c:v>1.1050187651577503</c:v>
                </c:pt>
                <c:pt idx="11">
                  <c:v>1.1108852407734815</c:v>
                </c:pt>
                <c:pt idx="12">
                  <c:v>1.1156739674900451</c:v>
                </c:pt>
                <c:pt idx="13">
                  <c:v>1.1197910979923344</c:v>
                </c:pt>
                <c:pt idx="14">
                  <c:v>1.1234201050137911</c:v>
                </c:pt>
                <c:pt idx="15">
                  <c:v>1.1265243426150924</c:v>
                </c:pt>
                <c:pt idx="16">
                  <c:v>1.1290513965223805</c:v>
                </c:pt>
                <c:pt idx="17">
                  <c:v>1.1313091737994523</c:v>
                </c:pt>
              </c:numCache>
            </c:numRef>
          </c:val>
          <c:smooth val="0"/>
          <c:extLst>
            <c:ext xmlns:c16="http://schemas.microsoft.com/office/drawing/2014/chart" uri="{C3380CC4-5D6E-409C-BE32-E72D297353CC}">
              <c16:uniqueId val="{00000001-308E-4E72-A519-FFA9794A2112}"/>
            </c:ext>
          </c:extLst>
        </c:ser>
        <c:ser>
          <c:idx val="2"/>
          <c:order val="2"/>
          <c:tx>
            <c:strRef>
              <c:f>TFP!$E$57</c:f>
              <c:strCache>
                <c:ptCount val="1"/>
                <c:pt idx="0">
                  <c:v>TFP</c:v>
                </c:pt>
              </c:strCache>
            </c:strRef>
          </c:tx>
          <c:spPr>
            <a:ln w="19050" cap="rnd" cmpd="sng" algn="ctr">
              <a:solidFill>
                <a:schemeClr val="accent3">
                  <a:tint val="65000"/>
                </a:schemeClr>
              </a:solidFill>
              <a:prstDash val="solid"/>
              <a:round/>
            </a:ln>
            <a:effectLst/>
          </c:spPr>
          <c:marker>
            <c:symbol val="square"/>
            <c:size val="5"/>
            <c:spPr>
              <a:solidFill>
                <a:schemeClr val="accent3">
                  <a:tint val="65000"/>
                </a:schemeClr>
              </a:solidFill>
              <a:ln w="6350" cap="flat" cmpd="sng" algn="ctr">
                <a:solidFill>
                  <a:schemeClr val="accent3">
                    <a:tint val="65000"/>
                  </a:schemeClr>
                </a:solidFill>
                <a:prstDash val="solid"/>
                <a:round/>
              </a:ln>
              <a:effectLst/>
            </c:spPr>
          </c:marker>
          <c:cat>
            <c:numRef>
              <c:f>TFP!$B$58:$B$75</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TFP!$E$58:$E$75</c:f>
              <c:numCache>
                <c:formatCode>0.0000</c:formatCode>
                <c:ptCount val="18"/>
                <c:pt idx="0">
                  <c:v>1.0180749872284134</c:v>
                </c:pt>
                <c:pt idx="1">
                  <c:v>1.0612815603370125</c:v>
                </c:pt>
                <c:pt idx="2">
                  <c:v>1.1026937412810998</c:v>
                </c:pt>
                <c:pt idx="3">
                  <c:v>1.0880070334707583</c:v>
                </c:pt>
                <c:pt idx="4">
                  <c:v>1.0741762611210199</c:v>
                </c:pt>
                <c:pt idx="5">
                  <c:v>1.1029414227531025</c:v>
                </c:pt>
                <c:pt idx="6">
                  <c:v>1.0951302819677837</c:v>
                </c:pt>
                <c:pt idx="7">
                  <c:v>1.1372798843568839</c:v>
                </c:pt>
                <c:pt idx="8">
                  <c:v>1.1222130012701126</c:v>
                </c:pt>
                <c:pt idx="9">
                  <c:v>1.1138220066698084</c:v>
                </c:pt>
                <c:pt idx="10">
                  <c:v>1.0956594824928054</c:v>
                </c:pt>
                <c:pt idx="11">
                  <c:v>1.1339252592319449</c:v>
                </c:pt>
                <c:pt idx="12">
                  <c:v>1.1556744031180335</c:v>
                </c:pt>
                <c:pt idx="13">
                  <c:v>1.1844369480631027</c:v>
                </c:pt>
                <c:pt idx="14">
                  <c:v>1.1846162980179127</c:v>
                </c:pt>
                <c:pt idx="15">
                  <c:v>1.1708902940335297</c:v>
                </c:pt>
                <c:pt idx="16">
                  <c:v>1.1641706517193726</c:v>
                </c:pt>
                <c:pt idx="17">
                  <c:v>1.1400147082566163</c:v>
                </c:pt>
              </c:numCache>
            </c:numRef>
          </c:val>
          <c:smooth val="0"/>
          <c:extLst>
            <c:ext xmlns:c16="http://schemas.microsoft.com/office/drawing/2014/chart" uri="{C3380CC4-5D6E-409C-BE32-E72D297353CC}">
              <c16:uniqueId val="{00000002-308E-4E72-A519-FFA9794A2112}"/>
            </c:ext>
          </c:extLst>
        </c:ser>
        <c:dLbls>
          <c:showLegendKey val="0"/>
          <c:showVal val="0"/>
          <c:showCatName val="0"/>
          <c:showSerName val="0"/>
          <c:showPercent val="0"/>
          <c:showBubbleSize val="0"/>
        </c:dLbls>
        <c:marker val="1"/>
        <c:smooth val="0"/>
        <c:axId val="393521784"/>
        <c:axId val="393522176"/>
      </c:lineChart>
      <c:catAx>
        <c:axId val="393521784"/>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93522176"/>
        <c:crosses val="autoZero"/>
        <c:auto val="1"/>
        <c:lblAlgn val="ctr"/>
        <c:lblOffset val="100"/>
        <c:tickLblSkip val="2"/>
        <c:noMultiLvlLbl val="0"/>
      </c:catAx>
      <c:valAx>
        <c:axId val="393522176"/>
        <c:scaling>
          <c:orientation val="minMax"/>
          <c:min val="0.85000000000000009"/>
        </c:scaling>
        <c:delete val="0"/>
        <c:axPos val="l"/>
        <c:majorGridlines>
          <c:spPr>
            <a:ln w="6350" cap="flat" cmpd="sng" algn="ctr">
              <a:solidFill>
                <a:schemeClr val="tx1">
                  <a:tint val="75000"/>
                </a:schemeClr>
              </a:solidFill>
              <a:prstDash val="solid"/>
              <a:round/>
            </a:ln>
            <a:effectLst/>
          </c:spPr>
        </c:majorGridlines>
        <c:numFmt formatCode="0.0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93521784"/>
        <c:crosses val="autoZero"/>
        <c:crossBetween val="between"/>
      </c:valAx>
      <c:spPr>
        <a:solidFill>
          <a:schemeClr val="bg1"/>
        </a:solidFill>
        <a:ln>
          <a:noFill/>
        </a:ln>
        <a:effectLst/>
      </c:spPr>
    </c:plotArea>
    <c:legend>
      <c:legendPos val="b"/>
      <c:layout>
        <c:manualLayout>
          <c:xMode val="edge"/>
          <c:yMode val="edge"/>
          <c:x val="0.2831793747300575"/>
          <c:y val="0.91628280839895015"/>
          <c:w val="0.43364125053988511"/>
          <c:h val="8.371719160104987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25240594925638"/>
          <c:y val="5.1400554097404488E-2"/>
          <c:w val="0.85476137357830273"/>
          <c:h val="0.79523549139690863"/>
        </c:manualLayout>
      </c:layout>
      <c:lineChart>
        <c:grouping val="standard"/>
        <c:varyColors val="0"/>
        <c:ser>
          <c:idx val="0"/>
          <c:order val="0"/>
          <c:tx>
            <c:strRef>
              <c:f>TFP!$C$56</c:f>
              <c:strCache>
                <c:ptCount val="1"/>
                <c:pt idx="0">
                  <c:v>EC</c:v>
                </c:pt>
              </c:strCache>
            </c:strRef>
          </c:tx>
          <c:spPr>
            <a:ln w="19050" cap="rnd" cmpd="sng" algn="ctr">
              <a:solidFill>
                <a:schemeClr val="accent3">
                  <a:shade val="65000"/>
                </a:schemeClr>
              </a:solidFill>
              <a:prstDash val="solid"/>
              <a:round/>
            </a:ln>
            <a:effectLst/>
          </c:spPr>
          <c:marker>
            <c:symbol val="triangle"/>
            <c:size val="5"/>
            <c:spPr>
              <a:solidFill>
                <a:schemeClr val="accent3">
                  <a:shade val="65000"/>
                </a:schemeClr>
              </a:solidFill>
              <a:ln w="6350" cap="flat" cmpd="sng" algn="ctr">
                <a:solidFill>
                  <a:schemeClr val="accent3">
                    <a:shade val="65000"/>
                  </a:schemeClr>
                </a:solidFill>
                <a:prstDash val="solid"/>
                <a:round/>
              </a:ln>
              <a:effectLst/>
            </c:spPr>
          </c:marker>
          <c:cat>
            <c:numRef>
              <c:f>TFP!$B$57:$B$74</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TFP!$C$57:$C$74</c:f>
              <c:numCache>
                <c:formatCode>0.0000</c:formatCode>
                <c:ptCount val="18"/>
                <c:pt idx="0">
                  <c:v>1.001336399536142</c:v>
                </c:pt>
                <c:pt idx="1">
                  <c:v>1.0049514089571383</c:v>
                </c:pt>
                <c:pt idx="2">
                  <c:v>1.0124680493538942</c:v>
                </c:pt>
                <c:pt idx="3">
                  <c:v>1.009191730037265</c:v>
                </c:pt>
                <c:pt idx="4">
                  <c:v>1.0033531433404816</c:v>
                </c:pt>
                <c:pt idx="5">
                  <c:v>1.0083170589062409</c:v>
                </c:pt>
                <c:pt idx="6">
                  <c:v>1.0056690110653701</c:v>
                </c:pt>
                <c:pt idx="7">
                  <c:v>1.0117477789122586</c:v>
                </c:pt>
                <c:pt idx="8">
                  <c:v>1.0095412744205818</c:v>
                </c:pt>
                <c:pt idx="9">
                  <c:v>1.0061155977443903</c:v>
                </c:pt>
                <c:pt idx="10">
                  <c:v>1.0012706586602336</c:v>
                </c:pt>
                <c:pt idx="11">
                  <c:v>1.0050669020780874</c:v>
                </c:pt>
                <c:pt idx="12">
                  <c:v>1.0088297533642638</c:v>
                </c:pt>
                <c:pt idx="13">
                  <c:v>1.0130490098036637</c:v>
                </c:pt>
                <c:pt idx="14">
                  <c:v>1.0118073086647128</c:v>
                </c:pt>
                <c:pt idx="15">
                  <c:v>1.0102054301812022</c:v>
                </c:pt>
                <c:pt idx="16">
                  <c:v>1.0090793584829922</c:v>
                </c:pt>
                <c:pt idx="17">
                  <c:v>1.0038909992996339</c:v>
                </c:pt>
              </c:numCache>
            </c:numRef>
          </c:val>
          <c:smooth val="0"/>
          <c:extLst>
            <c:ext xmlns:c16="http://schemas.microsoft.com/office/drawing/2014/chart" uri="{C3380CC4-5D6E-409C-BE32-E72D297353CC}">
              <c16:uniqueId val="{00000000-7766-4E15-BBB4-ACF1B56DCB24}"/>
            </c:ext>
          </c:extLst>
        </c:ser>
        <c:ser>
          <c:idx val="1"/>
          <c:order val="1"/>
          <c:tx>
            <c:strRef>
              <c:f>TFP!$D$56</c:f>
              <c:strCache>
                <c:ptCount val="1"/>
                <c:pt idx="0">
                  <c:v>TC</c:v>
                </c:pt>
              </c:strCache>
            </c:strRef>
          </c:tx>
          <c:spPr>
            <a:ln w="19050" cap="rnd" cmpd="sng" algn="ctr">
              <a:solidFill>
                <a:schemeClr val="accent3"/>
              </a:solidFill>
              <a:prstDash val="solid"/>
              <a:round/>
            </a:ln>
            <a:effectLst/>
          </c:spPr>
          <c:marker>
            <c:symbol val="circle"/>
            <c:size val="5"/>
            <c:spPr>
              <a:solidFill>
                <a:schemeClr val="accent3"/>
              </a:solidFill>
              <a:ln w="6350" cap="flat" cmpd="sng" algn="ctr">
                <a:solidFill>
                  <a:schemeClr val="accent3"/>
                </a:solidFill>
                <a:prstDash val="solid"/>
                <a:round/>
              </a:ln>
              <a:effectLst/>
            </c:spPr>
          </c:marker>
          <c:cat>
            <c:numRef>
              <c:f>TFP!$B$57:$B$74</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TFP!$D$57:$D$74</c:f>
              <c:numCache>
                <c:formatCode>0.0000</c:formatCode>
                <c:ptCount val="18"/>
                <c:pt idx="0">
                  <c:v>1.0114609382817339</c:v>
                </c:pt>
                <c:pt idx="1">
                  <c:v>1.0224115384319195</c:v>
                </c:pt>
                <c:pt idx="2">
                  <c:v>1.0327725547202606</c:v>
                </c:pt>
                <c:pt idx="3">
                  <c:v>1.0430848262302874</c:v>
                </c:pt>
                <c:pt idx="4">
                  <c:v>1.0532228851014802</c:v>
                </c:pt>
                <c:pt idx="5">
                  <c:v>1.062633030532137</c:v>
                </c:pt>
                <c:pt idx="6">
                  <c:v>1.0716374225561081</c:v>
                </c:pt>
                <c:pt idx="7">
                  <c:v>1.0802105966897111</c:v>
                </c:pt>
                <c:pt idx="8">
                  <c:v>1.0879989571868622</c:v>
                </c:pt>
                <c:pt idx="9">
                  <c:v>1.0957953637317785</c:v>
                </c:pt>
                <c:pt idx="10">
                  <c:v>1.1027151321745348</c:v>
                </c:pt>
                <c:pt idx="11">
                  <c:v>1.1083998847571828</c:v>
                </c:pt>
                <c:pt idx="12">
                  <c:v>1.1130038930735067</c:v>
                </c:pt>
                <c:pt idx="13">
                  <c:v>1.1169426515571117</c:v>
                </c:pt>
                <c:pt idx="14">
                  <c:v>1.1204030131914346</c:v>
                </c:pt>
                <c:pt idx="15">
                  <c:v>1.1233480374904297</c:v>
                </c:pt>
                <c:pt idx="16">
                  <c:v>1.1257251307144185</c:v>
                </c:pt>
                <c:pt idx="17">
                  <c:v>1.1278462178739375</c:v>
                </c:pt>
              </c:numCache>
            </c:numRef>
          </c:val>
          <c:smooth val="0"/>
          <c:extLst>
            <c:ext xmlns:c16="http://schemas.microsoft.com/office/drawing/2014/chart" uri="{C3380CC4-5D6E-409C-BE32-E72D297353CC}">
              <c16:uniqueId val="{00000001-7766-4E15-BBB4-ACF1B56DCB24}"/>
            </c:ext>
          </c:extLst>
        </c:ser>
        <c:ser>
          <c:idx val="2"/>
          <c:order val="2"/>
          <c:tx>
            <c:strRef>
              <c:f>TFP!$E$56</c:f>
              <c:strCache>
                <c:ptCount val="1"/>
                <c:pt idx="0">
                  <c:v>TFP</c:v>
                </c:pt>
              </c:strCache>
            </c:strRef>
          </c:tx>
          <c:spPr>
            <a:ln w="19050" cap="rnd" cmpd="sng" algn="ctr">
              <a:solidFill>
                <a:schemeClr val="accent3">
                  <a:tint val="65000"/>
                </a:schemeClr>
              </a:solidFill>
              <a:prstDash val="solid"/>
              <a:round/>
            </a:ln>
            <a:effectLst/>
          </c:spPr>
          <c:marker>
            <c:symbol val="square"/>
            <c:size val="5"/>
            <c:spPr>
              <a:solidFill>
                <a:schemeClr val="accent3">
                  <a:tint val="65000"/>
                </a:schemeClr>
              </a:solidFill>
              <a:ln w="6350" cap="flat" cmpd="sng" algn="ctr">
                <a:solidFill>
                  <a:schemeClr val="accent3">
                    <a:tint val="65000"/>
                  </a:schemeClr>
                </a:solidFill>
                <a:prstDash val="solid"/>
                <a:round/>
              </a:ln>
              <a:effectLst/>
            </c:spPr>
          </c:marker>
          <c:cat>
            <c:numRef>
              <c:f>TFP!$B$57:$B$74</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TFP!$E$57:$E$74</c:f>
              <c:numCache>
                <c:formatCode>0.0000</c:formatCode>
                <c:ptCount val="18"/>
                <c:pt idx="0">
                  <c:v>1.0128126542104792</c:v>
                </c:pt>
                <c:pt idx="1">
                  <c:v>1.0274739160811925</c:v>
                </c:pt>
                <c:pt idx="2">
                  <c:v>1.04564921390386</c:v>
                </c:pt>
                <c:pt idx="3">
                  <c:v>1.0526725803589634</c:v>
                </c:pt>
                <c:pt idx="4">
                  <c:v>1.0567544924047008</c:v>
                </c:pt>
                <c:pt idx="5">
                  <c:v>1.0714710120427899</c:v>
                </c:pt>
                <c:pt idx="6">
                  <c:v>1.077712546962643</c:v>
                </c:pt>
                <c:pt idx="7">
                  <c:v>1.0929006719583005</c:v>
                </c:pt>
                <c:pt idx="8">
                  <c:v>1.0983798538066887</c:v>
                </c:pt>
                <c:pt idx="9">
                  <c:v>1.1024968073865298</c:v>
                </c:pt>
                <c:pt idx="10">
                  <c:v>1.1041163067070026</c:v>
                </c:pt>
                <c:pt idx="11">
                  <c:v>1.11401603843661</c:v>
                </c:pt>
                <c:pt idx="12">
                  <c:v>1.1228314429428106</c:v>
                </c:pt>
                <c:pt idx="13">
                  <c:v>1.13151764716741</c:v>
                </c:pt>
                <c:pt idx="14">
                  <c:v>1.1336319573970595</c:v>
                </c:pt>
                <c:pt idx="15">
                  <c:v>1.1348122874562283</c:v>
                </c:pt>
                <c:pt idx="16">
                  <c:v>1.1359459927294873</c:v>
                </c:pt>
                <c:pt idx="17">
                  <c:v>1.1322346667177792</c:v>
                </c:pt>
              </c:numCache>
            </c:numRef>
          </c:val>
          <c:smooth val="0"/>
          <c:extLst>
            <c:ext xmlns:c16="http://schemas.microsoft.com/office/drawing/2014/chart" uri="{C3380CC4-5D6E-409C-BE32-E72D297353CC}">
              <c16:uniqueId val="{00000002-7766-4E15-BBB4-ACF1B56DCB24}"/>
            </c:ext>
          </c:extLst>
        </c:ser>
        <c:dLbls>
          <c:showLegendKey val="0"/>
          <c:showVal val="0"/>
          <c:showCatName val="0"/>
          <c:showSerName val="0"/>
          <c:showPercent val="0"/>
          <c:showBubbleSize val="0"/>
        </c:dLbls>
        <c:marker val="1"/>
        <c:smooth val="0"/>
        <c:axId val="393522960"/>
        <c:axId val="420279984"/>
      </c:lineChart>
      <c:catAx>
        <c:axId val="39352296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20279984"/>
        <c:crosses val="autoZero"/>
        <c:auto val="1"/>
        <c:lblAlgn val="ctr"/>
        <c:lblOffset val="100"/>
        <c:tickLblSkip val="2"/>
        <c:noMultiLvlLbl val="0"/>
      </c:catAx>
      <c:valAx>
        <c:axId val="420279984"/>
        <c:scaling>
          <c:orientation val="minMax"/>
          <c:min val="0.9"/>
        </c:scaling>
        <c:delete val="0"/>
        <c:axPos val="l"/>
        <c:majorGridlines>
          <c:spPr>
            <a:ln w="6350" cap="flat" cmpd="sng" algn="ctr">
              <a:solidFill>
                <a:schemeClr val="tx1">
                  <a:tint val="75000"/>
                </a:schemeClr>
              </a:solidFill>
              <a:prstDash val="solid"/>
              <a:round/>
            </a:ln>
            <a:effectLst/>
          </c:spPr>
        </c:majorGridlines>
        <c:numFmt formatCode="0.0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93522960"/>
        <c:crosses val="autoZero"/>
        <c:crossBetween val="between"/>
      </c:valAx>
      <c:spPr>
        <a:solidFill>
          <a:schemeClr val="bg1"/>
        </a:solidFill>
        <a:ln>
          <a:noFill/>
        </a:ln>
        <a:effectLst/>
      </c:spPr>
    </c:plotArea>
    <c:legend>
      <c:legendPos val="b"/>
      <c:layout>
        <c:manualLayout>
          <c:xMode val="edge"/>
          <c:yMode val="edge"/>
          <c:x val="0.2831793747300575"/>
          <c:y val="0.91628280839895015"/>
          <c:w val="0.43364125053988511"/>
          <c:h val="8.371719160104987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EC038-79D3-4595-8A47-55D5F12C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8039</Words>
  <Characters>45826</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Gibson, Lyn</cp:lastModifiedBy>
  <cp:revision>2</cp:revision>
  <dcterms:created xsi:type="dcterms:W3CDTF">2018-02-02T09:30:00Z</dcterms:created>
  <dcterms:modified xsi:type="dcterms:W3CDTF">2018-02-02T09:30:00Z</dcterms:modified>
</cp:coreProperties>
</file>